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30" w:beforeLines="500" w:line="360" w:lineRule="auto"/>
        <w:ind w:firstLine="723" w:firstLineChars="200"/>
        <w:jc w:val="center"/>
        <w:rPr>
          <w:rFonts w:ascii="宋体" w:hAnsi="宋体"/>
          <w:b/>
          <w:bCs/>
          <w:color w:val="000000" w:themeColor="text1"/>
          <w:sz w:val="36"/>
          <w:szCs w:val="36"/>
          <w14:textFill>
            <w14:solidFill>
              <w14:schemeClr w14:val="tx1"/>
            </w14:solidFill>
          </w14:textFill>
        </w:rPr>
      </w:pPr>
      <w:r>
        <w:rPr>
          <w:rFonts w:ascii="宋体" w:hAnsi="宋体"/>
          <w:b/>
          <w:bCs/>
          <w:color w:val="000000" w:themeColor="text1"/>
          <w:sz w:val="36"/>
          <w:szCs w:val="36"/>
          <w14:textFill>
            <w14:solidFill>
              <w14:schemeClr w14:val="tx1"/>
            </w14:solidFill>
          </w14:textFill>
        </w:rPr>
        <w:t>中移（成都）信息通信科技有限公司</w:t>
      </w:r>
    </w:p>
    <w:p>
      <w:pPr>
        <w:spacing w:line="360" w:lineRule="auto"/>
        <w:ind w:firstLine="723" w:firstLineChars="200"/>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202</w:t>
      </w:r>
      <w:r>
        <w:rPr>
          <w:rFonts w:ascii="宋体" w:hAnsi="宋体"/>
          <w:b/>
          <w:bCs/>
          <w:color w:val="000000" w:themeColor="text1"/>
          <w:sz w:val="36"/>
          <w:szCs w:val="36"/>
          <w14:textFill>
            <w14:solidFill>
              <w14:schemeClr w14:val="tx1"/>
            </w14:solidFill>
          </w14:textFill>
        </w:rPr>
        <w:t>2</w:t>
      </w:r>
      <w:r>
        <w:rPr>
          <w:rFonts w:hint="eastAsia" w:ascii="宋体" w:hAnsi="宋体"/>
          <w:b/>
          <w:bCs/>
          <w:color w:val="000000" w:themeColor="text1"/>
          <w:sz w:val="36"/>
          <w:szCs w:val="36"/>
          <w14:textFill>
            <w14:solidFill>
              <w14:schemeClr w14:val="tx1"/>
            </w14:solidFill>
          </w14:textFill>
        </w:rPr>
        <w:t>年和教育智慧校园工程</w:t>
      </w:r>
    </w:p>
    <w:p>
      <w:pPr>
        <w:spacing w:before="326" w:beforeLines="100" w:line="36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6"/>
          <w:szCs w:val="36"/>
          <w14:textFill>
            <w14:solidFill>
              <w14:schemeClr w14:val="tx1"/>
            </w14:solidFill>
          </w14:textFill>
        </w:rPr>
        <w:t>（标包</w:t>
      </w:r>
      <w:r>
        <w:rPr>
          <w:rFonts w:ascii="宋体" w:hAnsi="宋体"/>
          <w:b/>
          <w:bCs/>
          <w:color w:val="000000" w:themeColor="text1"/>
          <w:sz w:val="36"/>
          <w:szCs w:val="36"/>
          <w14:textFill>
            <w14:solidFill>
              <w14:schemeClr w14:val="tx1"/>
            </w14:solidFill>
          </w14:textFill>
        </w:rPr>
        <w:t>2</w:t>
      </w:r>
      <w:r>
        <w:rPr>
          <w:rFonts w:hint="eastAsia" w:ascii="宋体" w:hAnsi="宋体"/>
          <w:b/>
          <w:bCs/>
          <w:color w:val="000000" w:themeColor="text1"/>
          <w:sz w:val="36"/>
          <w:szCs w:val="36"/>
          <w14:textFill>
            <w14:solidFill>
              <w14:schemeClr w14:val="tx1"/>
            </w14:solidFill>
          </w14:textFill>
        </w:rPr>
        <w:t>：应用软件）</w:t>
      </w:r>
    </w:p>
    <w:p>
      <w:pPr>
        <w:pStyle w:val="2"/>
        <w:rPr>
          <w:color w:val="000000" w:themeColor="text1"/>
          <w14:textFill>
            <w14:solidFill>
              <w14:schemeClr w14:val="tx1"/>
            </w14:solidFill>
          </w14:textFill>
        </w:rPr>
      </w:pPr>
    </w:p>
    <w:p>
      <w:pPr>
        <w:spacing w:line="360" w:lineRule="auto"/>
        <w:ind w:firstLine="723" w:firstLineChars="200"/>
        <w:jc w:val="center"/>
        <w:rPr>
          <w:rFonts w:ascii="宋体" w:hAnsi="宋体"/>
          <w:b/>
          <w:bCs/>
          <w:color w:val="000000" w:themeColor="text1"/>
          <w:sz w:val="36"/>
          <w:szCs w:val="36"/>
          <w14:textFill>
            <w14:solidFill>
              <w14:schemeClr w14:val="tx1"/>
            </w14:solidFill>
          </w14:textFill>
        </w:rPr>
      </w:pPr>
      <w:r>
        <w:rPr>
          <w:rFonts w:ascii="宋体" w:hAnsi="宋体"/>
          <w:b/>
          <w:bCs/>
          <w:color w:val="000000" w:themeColor="text1"/>
          <w:sz w:val="36"/>
          <w:szCs w:val="36"/>
          <w14:textFill>
            <w14:solidFill>
              <w14:schemeClr w14:val="tx1"/>
            </w14:solidFill>
          </w14:textFill>
        </w:rPr>
        <w:t>技术规范书</w:t>
      </w:r>
    </w:p>
    <w:p>
      <w:pPr>
        <w:spacing w:before="3260" w:beforeLines="1000" w:line="360" w:lineRule="auto"/>
        <w:rPr>
          <w:rFonts w:ascii="宋体" w:hAnsi="宋体"/>
          <w:b/>
          <w:bCs/>
          <w:color w:val="000000" w:themeColor="text1"/>
          <w:sz w:val="28"/>
          <w:szCs w:val="28"/>
          <w14:textFill>
            <w14:solidFill>
              <w14:schemeClr w14:val="tx1"/>
            </w14:solidFill>
          </w14:textFill>
        </w:rPr>
      </w:pPr>
    </w:p>
    <w:p>
      <w:pPr>
        <w:spacing w:before="3260" w:beforeLines="1000" w:line="360" w:lineRule="auto"/>
        <w:jc w:val="center"/>
        <w:rPr>
          <w:rFonts w:ascii="宋体" w:hAnsi="宋体"/>
          <w:color w:val="000000" w:themeColor="text1"/>
          <w:sz w:val="32"/>
          <w:szCs w:val="32"/>
          <w14:textFill>
            <w14:solidFill>
              <w14:schemeClr w14:val="tx1"/>
            </w14:solidFill>
          </w14:textFill>
        </w:rPr>
      </w:pPr>
      <w:r>
        <w:rPr>
          <w:rFonts w:ascii="宋体" w:hAnsi="宋体"/>
          <w:b/>
          <w:bCs/>
          <w:color w:val="000000" w:themeColor="text1"/>
          <w:sz w:val="28"/>
          <w:szCs w:val="28"/>
          <w14:textFill>
            <w14:solidFill>
              <w14:schemeClr w14:val="tx1"/>
            </w14:solidFill>
          </w14:textFill>
        </w:rPr>
        <w:t>中移（成都）信息通信科技有限公司</w:t>
      </w:r>
    </w:p>
    <w:p>
      <w:pPr>
        <w:spacing w:line="360" w:lineRule="auto"/>
        <w:ind w:firstLine="562" w:firstLineChars="200"/>
        <w:jc w:val="center"/>
        <w:rPr>
          <w:rFonts w:ascii="宋体" w:hAnsi="宋体"/>
          <w:b/>
          <w:bCs/>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2022年12月</w:t>
      </w:r>
    </w:p>
    <w:p>
      <w:pPr>
        <w:pStyle w:val="2"/>
        <w:rPr>
          <w:color w:val="000000" w:themeColor="text1"/>
          <w14:textFill>
            <w14:solidFill>
              <w14:schemeClr w14:val="tx1"/>
            </w14:solidFill>
          </w14:textFill>
        </w:rPr>
      </w:pPr>
      <w:r>
        <w:rPr>
          <w:color w:val="000000" w:themeColor="text1"/>
          <w14:textFill>
            <w14:solidFill>
              <w14:schemeClr w14:val="tx1"/>
            </w14:solidFill>
          </w14:textFill>
        </w:rPr>
        <w:br w:type="page"/>
      </w:r>
    </w:p>
    <w:p>
      <w:pPr>
        <w:pStyle w:val="3"/>
        <w:snapToGrid w:val="0"/>
        <w:spacing w:before="0" w:beforeAutospacing="0" w:after="0" w:afterAutospacing="0" w:line="360" w:lineRule="auto"/>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总则</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1.1本文件为中移（成都）信息通信科技有限公司（以下称为“招标人”）对</w:t>
      </w:r>
      <w:r>
        <w:rPr>
          <w:rFonts w:hint="eastAsia" w:ascii="宋体" w:hAnsi="宋体"/>
          <w:color w:val="000000" w:themeColor="text1"/>
          <w:sz w:val="21"/>
          <w:szCs w:val="21"/>
          <w14:textFill>
            <w14:solidFill>
              <w14:schemeClr w14:val="tx1"/>
            </w14:solidFill>
          </w14:textFill>
        </w:rPr>
        <w:t>中移（成都）信息通信科技有限公司202</w:t>
      </w:r>
      <w:r>
        <w:rPr>
          <w:rFonts w:ascii="宋体" w:hAnsi="宋体"/>
          <w:color w:val="000000" w:themeColor="text1"/>
          <w:sz w:val="21"/>
          <w:szCs w:val="21"/>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年和教育智慧校园工程项目（标包</w:t>
      </w:r>
      <w:r>
        <w:rPr>
          <w:rFonts w:ascii="宋体" w:hAnsi="宋体"/>
          <w:color w:val="000000" w:themeColor="text1"/>
          <w:sz w:val="21"/>
          <w:szCs w:val="21"/>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：应用软件）</w:t>
      </w:r>
      <w:r>
        <w:rPr>
          <w:rFonts w:ascii="宋体" w:hAnsi="宋体"/>
          <w:color w:val="000000" w:themeColor="text1"/>
          <w:sz w:val="21"/>
          <w:szCs w:val="21"/>
          <w14:textFill>
            <w14:solidFill>
              <w14:schemeClr w14:val="tx1"/>
            </w14:solidFill>
          </w14:textFill>
        </w:rPr>
        <w:t>供应商（以下称为“投标人”）提出的技术规范书。</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1.2本技术规范书的解释权属于招标人。</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1.3本技术要求中的技术要求部分规定了本次所需采购内容的基本技术要求，投标人所提出的任何指标应不劣于给出的技术要求。</w:t>
      </w:r>
    </w:p>
    <w:p>
      <w:pPr>
        <w:pStyle w:val="3"/>
        <w:snapToGrid w:val="0"/>
        <w:spacing w:before="0" w:beforeAutospacing="0" w:after="0" w:afterAutospacing="0" w:line="360" w:lineRule="auto"/>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项目概况 </w:t>
      </w:r>
    </w:p>
    <w:p>
      <w:pPr>
        <w:pStyle w:val="4"/>
        <w:snapToGrid w:val="0"/>
        <w:spacing w:before="0" w:after="0" w:line="360" w:lineRule="auto"/>
        <w:rPr>
          <w:rFonts w:ascii="宋体" w:hAnsi="宋体"/>
          <w:color w:val="000000" w:themeColor="text1"/>
          <w:sz w:val="21"/>
          <w:szCs w:val="21"/>
          <w:lang w:eastAsia="zh-CN"/>
          <w14:textFill>
            <w14:solidFill>
              <w14:schemeClr w14:val="tx1"/>
            </w14:solidFill>
          </w14:textFill>
        </w:rPr>
      </w:pPr>
      <w:bookmarkStart w:id="0" w:name="_Toc295225969"/>
      <w:r>
        <w:rPr>
          <w:rFonts w:ascii="宋体" w:hAnsi="宋体"/>
          <w:color w:val="000000" w:themeColor="text1"/>
          <w:sz w:val="21"/>
          <w:szCs w:val="21"/>
          <w:lang w:eastAsia="zh-CN"/>
          <w14:textFill>
            <w14:solidFill>
              <w14:schemeClr w14:val="tx1"/>
            </w14:solidFill>
          </w14:textFill>
        </w:rPr>
        <w:t>采购背景</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2021年7月1日教育部等六部门《关于推进教育新型基础设施建设构建高质量教育支撑体系的指导意见》指出要以信息化为主导，面向教育高质量发展需要，建设聚焦信息网络、平台体系、数字资源、智慧校园、创新应用、可信安全等六大重点方向的新型基础设施体系。六大重点方向主要包括：信息网络，建设教育专网，升级校园网络；平台体系，推动各级各类教育平台融合，构建互联互通、应用齐备、协同服务的“互联网+教育”大平台；数字资源，推动数字资源供给侧结改革，创新供给模式，提高供给质量；智慧校园，利用信息技术升级教学设施、科研设施和公共设施；创新应用，创新教学、评价、研训和管理等应用，促进信息技术与教育教学深度融合；可信安全，有效感知网络安全威胁，过滤网络不良信息。</w:t>
      </w:r>
    </w:p>
    <w:p>
      <w:pPr>
        <w:snapToGrid w:val="0"/>
        <w:spacing w:line="360" w:lineRule="auto"/>
        <w:ind w:firstLine="420" w:firstLineChars="200"/>
        <w:rPr>
          <w:rFonts w:ascii="宋体" w:hAnsi="宋体" w:cs="宋体"/>
          <w:color w:val="000000" w:themeColor="text1"/>
          <w:kern w:val="0"/>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为响应国家政策，和教育智慧校园平台从平台体系、</w:t>
      </w:r>
      <w:r>
        <w:rPr>
          <w:rFonts w:ascii="宋体" w:hAnsi="宋体"/>
          <w:color w:val="000000" w:themeColor="text1"/>
          <w:sz w:val="21"/>
          <w:szCs w:val="21"/>
          <w14:textFill>
            <w14:solidFill>
              <w14:schemeClr w14:val="tx1"/>
            </w14:solidFill>
          </w14:textFill>
        </w:rPr>
        <w:t>应用</w:t>
      </w:r>
      <w:r>
        <w:rPr>
          <w:rFonts w:hint="eastAsia" w:ascii="宋体" w:hAnsi="宋体"/>
          <w:color w:val="000000" w:themeColor="text1"/>
          <w:sz w:val="21"/>
          <w:szCs w:val="21"/>
          <w14:textFill>
            <w14:solidFill>
              <w14:schemeClr w14:val="tx1"/>
            </w14:solidFill>
          </w14:textFill>
        </w:rPr>
        <w:t>创新、</w:t>
      </w:r>
      <w:r>
        <w:rPr>
          <w:rFonts w:ascii="宋体" w:hAnsi="宋体"/>
          <w:color w:val="000000" w:themeColor="text1"/>
          <w:sz w:val="21"/>
          <w:szCs w:val="21"/>
          <w14:textFill>
            <w14:solidFill>
              <w14:schemeClr w14:val="tx1"/>
            </w14:solidFill>
          </w14:textFill>
        </w:rPr>
        <w:t>区域协同</w:t>
      </w:r>
      <w:r>
        <w:rPr>
          <w:rFonts w:hint="eastAsia" w:ascii="宋体" w:hAnsi="宋体"/>
          <w:color w:val="000000" w:themeColor="text1"/>
          <w:sz w:val="21"/>
          <w:szCs w:val="21"/>
          <w14:textFill>
            <w14:solidFill>
              <w14:schemeClr w14:val="tx1"/>
            </w14:solidFill>
          </w14:textFill>
        </w:rPr>
        <w:t>等方向出发，从</w:t>
      </w:r>
      <w:r>
        <w:rPr>
          <w:rFonts w:hint="eastAsia" w:ascii="宋体" w:hAnsi="宋体" w:cs="宋体"/>
          <w:color w:val="000000" w:themeColor="text1"/>
          <w:kern w:val="0"/>
          <w:sz w:val="21"/>
          <w:szCs w:val="21"/>
          <w14:textFill>
            <w14:solidFill>
              <w14:schemeClr w14:val="tx1"/>
            </w14:solidFill>
          </w14:textFill>
        </w:rPr>
        <w:t>教育主管部门、学校、教师、家长、学生等主要参与者的需求痛点切入，不断完善智慧校园平台体系基础设施建设。和教育智慧校园平台旨在全面构建新一代移动互联网智慧教育云应用，为未来教育提供安全可靠的技术支持和创新保障，更加快速有效地支撑教育事业的信息化和现代化。</w:t>
      </w:r>
    </w:p>
    <w:p>
      <w:pPr>
        <w:snapToGrid w:val="0"/>
        <w:spacing w:line="360" w:lineRule="auto"/>
        <w:ind w:firstLine="420" w:firstLineChars="200"/>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目前智慧校园平台经过两期建设，已具备了教育教学、教育管理、校园生活、平安校园、数据分析等场景的平台能力，包含移动办公、协同教研、教务管理、智慧课堂、智能考勤、家校互动、资产管理、数字德育等功能，且已完成多级平台的互通互融以及部分第三方应用和系统的对接，具备了对学校的基础支撑能力。</w:t>
      </w:r>
    </w:p>
    <w:p>
      <w:pPr>
        <w:snapToGrid w:val="0"/>
        <w:spacing w:line="360" w:lineRule="auto"/>
        <w:ind w:firstLine="420" w:firstLineChars="200"/>
        <w:rPr>
          <w:rFonts w:ascii="宋体" w:hAnsi="宋体" w:cs="宋体"/>
          <w:color w:val="000000" w:themeColor="text1"/>
          <w:kern w:val="0"/>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但随着市场的快速发展和业务需求的多样性，需要不断进行智慧校园平台的能力完善。通过丰富智慧校园平台功能应用场景，加强平台易用实用性，以增强用户体验感知，从而强化智慧校园平台的核心竞争力，实现和教育智慧校园平台市场快速拓展。</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p>
    <w:p>
      <w:pPr>
        <w:pStyle w:val="4"/>
        <w:snapToGrid w:val="0"/>
        <w:spacing w:before="0" w:after="0" w:line="360" w:lineRule="auto"/>
        <w:rPr>
          <w:rFonts w:ascii="宋体" w:hAnsi="宋体"/>
          <w:color w:val="000000" w:themeColor="text1"/>
          <w:sz w:val="21"/>
          <w:szCs w:val="21"/>
          <w:lang w:eastAsia="zh-CN"/>
          <w14:textFill>
            <w14:solidFill>
              <w14:schemeClr w14:val="tx1"/>
            </w14:solidFill>
          </w14:textFill>
        </w:rPr>
      </w:pPr>
      <w:r>
        <w:rPr>
          <w:rFonts w:ascii="宋体" w:hAnsi="宋体"/>
          <w:color w:val="000000" w:themeColor="text1"/>
          <w:sz w:val="21"/>
          <w:szCs w:val="21"/>
          <w:lang w:eastAsia="zh-CN"/>
          <w14:textFill>
            <w14:solidFill>
              <w14:schemeClr w14:val="tx1"/>
            </w14:solidFill>
          </w14:textFill>
        </w:rPr>
        <w:t>采购需求</w:t>
      </w:r>
      <w:bookmarkEnd w:id="0"/>
    </w:p>
    <w:p>
      <w:pPr>
        <w:snapToGrid w:val="0"/>
        <w:spacing w:line="360" w:lineRule="auto"/>
        <w:ind w:firstLine="48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本期采购需求如下：</w:t>
      </w:r>
    </w:p>
    <w:p>
      <w:pPr>
        <w:snapToGrid w:val="0"/>
        <w:spacing w:line="360" w:lineRule="auto"/>
        <w:ind w:firstLine="48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智慧校园平台通过与和教育融合平台（以下简称“融合平台”）用户体系互融互通、打造第三方硬件接入能力、优化交互体验及运营能力、以及相关应用优化等能力建议，实现应用的用户的统一管理，打造市场竞争优化。</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与融合平台融合改造：通过和融合平台的互融互通，实现用户体验、用户身份识别、身份认证的能力融合；多校区、区域、多平台互联互通。</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交互体验及优化：通过竞品分析，对标头部产品优势，发现智慧校园平台的不足，从智慧校园交互体验、运营服务能力、应用门户、等方面进行产品优化，快速响应客户个性化定制需求，提升用户使用体验。</w:t>
      </w:r>
    </w:p>
    <w:p>
      <w:pPr>
        <w:pStyle w:val="35"/>
        <w:numPr>
          <w:ilvl w:val="0"/>
          <w:numId w:val="3"/>
        </w:numPr>
        <w:snapToGrid w:val="0"/>
        <w:spacing w:line="360" w:lineRule="auto"/>
        <w:ind w:left="482" w:firstLine="420"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高频应用优化：根据市场发展和客户需求，对各地市场关注较多的办公、打卡、审批、学生考勤、教师考勤、宿舍管理等高频常用的应用进行优化，提升产品竞争力和落地能力。</w:t>
      </w:r>
    </w:p>
    <w:p>
      <w:pPr>
        <w:pStyle w:val="3"/>
        <w:rPr>
          <w:rFonts w:ascii="宋体" w:hAnsi="宋体"/>
          <w:color w:val="000000" w:themeColor="text1"/>
          <w14:textFill>
            <w14:solidFill>
              <w14:schemeClr w14:val="tx1"/>
            </w14:solidFill>
          </w14:textFill>
        </w:rPr>
      </w:pPr>
      <w:bookmarkStart w:id="1" w:name="_Toc295225970"/>
      <w:r>
        <w:rPr>
          <w:rFonts w:ascii="宋体" w:hAnsi="宋体"/>
          <w:color w:val="000000" w:themeColor="text1"/>
          <w14:textFill>
            <w14:solidFill>
              <w14:schemeClr w14:val="tx1"/>
            </w14:solidFill>
          </w14:textFill>
        </w:rPr>
        <w:t>技术规范及要求</w:t>
      </w:r>
      <w:bookmarkEnd w:id="1"/>
    </w:p>
    <w:p>
      <w:pPr>
        <w:pStyle w:val="4"/>
        <w:rPr>
          <w:rFonts w:ascii="宋体" w:hAnsi="宋体"/>
          <w:color w:val="000000" w:themeColor="text1"/>
          <w:lang w:eastAsia="zh-CN"/>
          <w14:textFill>
            <w14:solidFill>
              <w14:schemeClr w14:val="tx1"/>
            </w14:solidFill>
          </w14:textFill>
        </w:rPr>
      </w:pPr>
      <w:r>
        <w:rPr>
          <w:rFonts w:ascii="宋体" w:hAnsi="宋体"/>
          <w:color w:val="000000" w:themeColor="text1"/>
          <w:lang w:eastAsia="zh-CN"/>
          <w14:textFill>
            <w14:solidFill>
              <w14:schemeClr w14:val="tx1"/>
            </w14:solidFill>
          </w14:textFill>
        </w:rPr>
        <w:t>技术架构要求</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投标人应充分理解技术规范书内容，深入分析了解系统需求，提供</w:t>
      </w:r>
      <w:r>
        <w:rPr>
          <w:rFonts w:hint="eastAsia" w:ascii="宋体" w:hAnsi="宋体"/>
          <w:color w:val="000000" w:themeColor="text1"/>
          <w:sz w:val="21"/>
          <w:szCs w:val="21"/>
          <w14:textFill>
            <w14:solidFill>
              <w14:schemeClr w14:val="tx1"/>
            </w14:solidFill>
          </w14:textFill>
        </w:rPr>
        <w:t>软件设计总体方案、质量控制方案、安全保障方案等，</w:t>
      </w:r>
      <w:r>
        <w:rPr>
          <w:rFonts w:ascii="宋体" w:hAnsi="宋体"/>
          <w:color w:val="000000" w:themeColor="text1"/>
          <w:sz w:val="21"/>
          <w:szCs w:val="21"/>
          <w14:textFill>
            <w14:solidFill>
              <w14:schemeClr w14:val="tx1"/>
            </w14:solidFill>
          </w14:textFill>
        </w:rPr>
        <w:t>应从技术架构的合理性、先进性、稳定性、安全性、扩展性等方面进行详细阐述</w:t>
      </w:r>
      <w:r>
        <w:rPr>
          <w:rFonts w:hint="eastAsia" w:ascii="宋体" w:hAnsi="宋体"/>
          <w:color w:val="000000" w:themeColor="text1"/>
          <w:sz w:val="21"/>
          <w:szCs w:val="21"/>
          <w14:textFill>
            <w14:solidFill>
              <w14:schemeClr w14:val="tx1"/>
            </w14:solidFill>
          </w14:textFill>
        </w:rPr>
        <w:t>和</w:t>
      </w:r>
      <w:r>
        <w:rPr>
          <w:rFonts w:ascii="宋体" w:hAnsi="宋体"/>
          <w:color w:val="000000" w:themeColor="text1"/>
          <w:sz w:val="21"/>
          <w:szCs w:val="21"/>
          <w14:textFill>
            <w14:solidFill>
              <w14:schemeClr w14:val="tx1"/>
            </w14:solidFill>
          </w14:textFill>
        </w:rPr>
        <w:t>设计。</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整体功能架构</w:t>
      </w:r>
      <w:r>
        <w:rPr>
          <w:rFonts w:ascii="宋体" w:hAnsi="宋体" w:eastAsia="宋体"/>
          <w:color w:val="000000" w:themeColor="text1"/>
          <w:sz w:val="21"/>
          <w:szCs w:val="21"/>
          <w14:textFill>
            <w14:solidFill>
              <w14:schemeClr w14:val="tx1"/>
            </w14:solidFill>
          </w14:textFill>
        </w:rPr>
        <w:t xml:space="preserve">  </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系统的整体功能架构如图3-1所示。</w:t>
      </w:r>
    </w:p>
    <w:p>
      <w:pPr>
        <w:snapToGrid w:val="0"/>
        <w:spacing w:line="360" w:lineRule="auto"/>
        <w:ind w:firstLine="480" w:firstLine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14:textFill>
            <w14:solidFill>
              <w14:schemeClr w14:val="tx1"/>
            </w14:solidFill>
          </w14:textFill>
        </w:rPr>
        <w:drawing>
          <wp:inline distT="0" distB="0" distL="114300" distR="114300">
            <wp:extent cx="5262880" cy="2400300"/>
            <wp:effectExtent l="0" t="0" r="139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2880" cy="2400300"/>
                    </a:xfrm>
                    <a:prstGeom prst="rect">
                      <a:avLst/>
                    </a:prstGeom>
                    <a:noFill/>
                    <a:ln>
                      <a:noFill/>
                    </a:ln>
                  </pic:spPr>
                </pic:pic>
              </a:graphicData>
            </a:graphic>
          </wp:inline>
        </w:drawing>
      </w:r>
    </w:p>
    <w:p>
      <w:pPr>
        <w:snapToGrid w:val="0"/>
        <w:spacing w:line="360" w:lineRule="auto"/>
        <w:ind w:firstLine="420" w:firstLineChars="200"/>
        <w:jc w:val="center"/>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图3-1 系统整体功能架构</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技术选型</w:t>
      </w:r>
      <w:r>
        <w:rPr>
          <w:rFonts w:ascii="宋体" w:hAnsi="宋体" w:eastAsia="宋体"/>
          <w:color w:val="000000" w:themeColor="text1"/>
          <w:sz w:val="21"/>
          <w:szCs w:val="21"/>
          <w14:textFill>
            <w14:solidFill>
              <w14:schemeClr w14:val="tx1"/>
            </w14:solidFill>
          </w14:textFill>
        </w:rPr>
        <w:t xml:space="preserve"> </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系统服务应支持分布式部署，支持微服务架构；</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系统服务应能运行在RedHat/CentOS/Ubuntu等Linux操作系统上；</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系统后台开发语言应选用常用开发语言，如Java等，易于维护；</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数据存储应选用主流数据库，如MySQL/PostgreSQL等，实现数据的管理与存储，且易于维护；</w:t>
      </w:r>
    </w:p>
    <w:p>
      <w:pPr>
        <w:pStyle w:val="19"/>
        <w:numPr>
          <w:ilvl w:val="0"/>
          <w:numId w:val="4"/>
        </w:numPr>
        <w:snapToGrid w:val="0"/>
        <w:spacing w:line="360" w:lineRule="auto"/>
        <w:ind w:left="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可选用第三方中间件，要求能提供源码并支持二次开发。</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技术要求</w:t>
      </w:r>
      <w:r>
        <w:rPr>
          <w:rFonts w:ascii="宋体" w:hAnsi="宋体" w:eastAsia="宋体"/>
          <w:color w:val="000000" w:themeColor="text1"/>
          <w:sz w:val="21"/>
          <w:szCs w:val="21"/>
          <w14:textFill>
            <w14:solidFill>
              <w14:schemeClr w14:val="tx1"/>
            </w14:solidFill>
          </w14:textFill>
        </w:rPr>
        <w:t xml:space="preserve"> </w:t>
      </w:r>
    </w:p>
    <w:p>
      <w:pPr>
        <w:pStyle w:val="29"/>
        <w:numPr>
          <w:ilvl w:val="0"/>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3.1.3.1</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开放性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xml:space="preserve">基于业界开放式标准，对系统中的各种网络协议、数据接口等进行统一规划，为未来的系统扩展奠定基础。智慧校园平台系统要支持IPV6。 </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系统关键数据（建设单位组织讨论确认）对接院内数据中台，后续针对系统数据的需求应提供支撑配合。</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系统需支持对接，支持复用招标人通用IM能力。</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3.1.3.2</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可靠性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系统采用较为成熟且用户范围较广的组件构建系统，应考虑硬件和软件的容错、数据备份/恢复等系统可靠性措施。</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核心系统（软件、硬件和操作系统）在99.9%的时间内能够正常运作，故障停机时间三个月内不得超过2个小时。</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重要系统服务器应采用双机热备等机制，各层分布式部署，各环节至少两个节点以上，以保证单一服务器故障不影响或少影响现有信息化系统的正常运行。</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3.1.3.3</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可用性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系统设备应不受任何单点故障的影响。</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系统设备应能支持7x24小时连续不间断工作。</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系统数据采集的负荷不应明显影响信息化系统的正常运行。</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系统应每周进行一次例行维护，维护时间在非工作时间进行。</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3.1.3.5</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可维护性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系统应该具有对自身的集中维护配置功能，包括集中的系统参数设置，并且支持软件的分发。</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系统应该按照可维护性原则进行设置，如重大操作要求记日志，且在需要时要求程序的每一步处理应该是可追踪的。</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当提交完整的产品时，必须提交易于安装的标准安装程序，提供必要的操作维护手册及技术手册、必要的培训。当进行版本升级时，提供版本差异的详细说明。</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3.1.3.6</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扩展性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硬件系统采用模块结构，以保证系统功能、处理器及储存容量的扩展。硬件配置的升级不应引起应用软件的修改和开发。</w:t>
      </w:r>
      <w:r>
        <w:rPr>
          <w:rFonts w:hint="eastAsia" w:ascii="宋体" w:hAnsi="宋体" w:cs="宋体"/>
          <w:color w:val="000000" w:themeColor="text1"/>
          <w:sz w:val="21"/>
          <w:szCs w:val="21"/>
          <w14:textFill>
            <w14:solidFill>
              <w14:schemeClr w14:val="tx1"/>
            </w14:solidFill>
          </w14:textFill>
        </w:rPr>
        <w:tab/>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应用软件的结构应能保证功能的可扩展和性能的平滑扩充。采用中间件技术和J2EE面向对象组件的技术体系，可以确保系统具有非常强的平台跨越和应用扩展的功能。系统采用基于组件的技术构造应用软件系统，便于系统裁减，易于挂接现有的应用系统，保护用户以前的软件投资。适应分布环境特征，整个系统涉及面广，涉及的系统技术环境、业务环境复杂，具有典型的大型分布式应用的特征，采用基于业界分布式计算的工业标准实现。</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平台能力可以不断接入更多人工智能等能力。</w:t>
      </w:r>
    </w:p>
    <w:p>
      <w:pPr>
        <w:pStyle w:val="29"/>
        <w:numPr>
          <w:ilvl w:val="3"/>
          <w:numId w:val="0"/>
        </w:numPr>
        <w:snapToGrid w:val="0"/>
        <w:ind w:firstLine="422"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3.1.3.7</w:t>
      </w:r>
      <w:r>
        <w:rPr>
          <w:rFonts w:ascii="宋体" w:hAnsi="宋体" w:eastAsia="宋体" w:cs="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可操作性</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应用软件在设计、开发中要遵循易操作性、健壮性、实用性、高效性和安全性的原则。</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用户界面采用中文界面，提示信息通俗易懂，操作及选择键（菜单选择等）的功能定义在全系统保持一致。</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系统对于查询界面，应提供滚动显示功能。</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对于查询/统计结果、工作单等，提供可选的打印功能，并提供电子文档的存储功能。</w:t>
      </w:r>
    </w:p>
    <w:p>
      <w:pPr>
        <w:pStyle w:val="30"/>
        <w:snapToGrid w:val="0"/>
        <w:ind w:firstLine="42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系统采用开放的接口，支持二次开发的功能，特别是要有良好的工作流引擎，能够支持流程的灵活定制。</w:t>
      </w:r>
    </w:p>
    <w:p>
      <w:pPr>
        <w:pStyle w:val="29"/>
        <w:numPr>
          <w:ilvl w:val="3"/>
          <w:numId w:val="0"/>
        </w:numPr>
        <w:snapToGrid w:val="0"/>
        <w:ind w:firstLine="422" w:firstLineChars="200"/>
        <w:rPr>
          <w:rFonts w:ascii="宋体" w:hAnsi="宋体" w:eastAsia="宋体" w:cs="宋体"/>
          <w:color w:val="000000" w:themeColor="text1"/>
          <w:sz w:val="21"/>
          <w:szCs w:val="21"/>
          <w:lang w:eastAsia="zh-Hans"/>
          <w14:textFill>
            <w14:solidFill>
              <w14:schemeClr w14:val="tx1"/>
            </w14:solidFill>
          </w14:textFill>
        </w:rPr>
      </w:pPr>
      <w:r>
        <w:rPr>
          <w:rFonts w:ascii="宋体" w:hAnsi="宋体" w:eastAsia="宋体" w:cs="宋体"/>
          <w:color w:val="000000" w:themeColor="text1"/>
          <w:sz w:val="21"/>
          <w:szCs w:val="21"/>
          <w:lang w:eastAsia="zh-Hans"/>
          <w14:textFill>
            <w14:solidFill>
              <w14:schemeClr w14:val="tx1"/>
            </w14:solidFill>
          </w14:textFill>
        </w:rPr>
        <w:t xml:space="preserve">3.1.3.8 </w:t>
      </w:r>
      <w:r>
        <w:rPr>
          <w:rFonts w:hint="eastAsia" w:ascii="宋体" w:hAnsi="宋体" w:eastAsia="宋体" w:cs="宋体"/>
          <w:color w:val="000000" w:themeColor="text1"/>
          <w:sz w:val="21"/>
          <w:szCs w:val="21"/>
          <w:lang w:eastAsia="zh-Hans"/>
          <w14:textFill>
            <w14:solidFill>
              <w14:schemeClr w14:val="tx1"/>
            </w14:solidFill>
          </w14:textFill>
        </w:rPr>
        <w:t>技术方案</w:t>
      </w:r>
    </w:p>
    <w:p>
      <w:pPr>
        <w:pStyle w:val="30"/>
        <w:ind w:firstLine="420"/>
        <w:rPr>
          <w:rFonts w:ascii="宋体" w:hAnsi="宋体" w:cs="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投标人针对</w:t>
      </w:r>
      <w:r>
        <w:rPr>
          <w:rFonts w:hint="eastAsia" w:ascii="宋体" w:hAnsi="宋体"/>
          <w:color w:val="000000" w:themeColor="text1"/>
          <w:sz w:val="21"/>
          <w:szCs w:val="21"/>
          <w:lang w:eastAsia="zh-Hans"/>
          <w14:textFill>
            <w14:solidFill>
              <w14:schemeClr w14:val="tx1"/>
            </w14:solidFill>
          </w14:textFill>
        </w:rPr>
        <w:t>上述技术要求，提供项目总体方案建议书和项目部署方案。总体方案建议书内容至少包括整体解决方案、软件架构、功能实现方案及关键业务流程、系统接口方案、系统兼容性、系统管理、系统安全解决方案、系统可靠性和可扩展性、合理化建议及重点难点分析等。部署方案至少包括部署架构、内外系统的服务、接口、数据一致性等。</w:t>
      </w:r>
    </w:p>
    <w:p>
      <w:pPr>
        <w:pStyle w:val="4"/>
        <w:rPr>
          <w:rFonts w:ascii="宋体" w:hAnsi="宋体"/>
          <w:color w:val="000000" w:themeColor="text1"/>
          <w:szCs w:val="24"/>
          <w:lang w:eastAsia="zh-CN"/>
          <w14:textFill>
            <w14:solidFill>
              <w14:schemeClr w14:val="tx1"/>
            </w14:solidFill>
          </w14:textFill>
        </w:rPr>
      </w:pPr>
      <w:r>
        <w:rPr>
          <w:rFonts w:hint="eastAsia" w:ascii="宋体" w:hAnsi="宋体"/>
          <w:color w:val="000000" w:themeColor="text1"/>
          <w:szCs w:val="24"/>
          <w:lang w:val="en-US" w:eastAsia="zh-CN"/>
          <w14:textFill>
            <w14:solidFill>
              <w14:schemeClr w14:val="tx1"/>
            </w14:solidFill>
          </w14:textFill>
        </w:rPr>
        <w:t>系统</w:t>
      </w:r>
      <w:r>
        <w:rPr>
          <w:rFonts w:ascii="宋体" w:hAnsi="宋体"/>
          <w:color w:val="000000" w:themeColor="text1"/>
          <w:szCs w:val="24"/>
          <w:lang w:eastAsia="zh-CN"/>
          <w14:textFill>
            <w14:solidFill>
              <w14:schemeClr w14:val="tx1"/>
            </w14:solidFill>
          </w14:textFill>
        </w:rPr>
        <w:t>功能要求</w:t>
      </w:r>
      <w:r>
        <w:rPr>
          <w:rFonts w:ascii="宋体" w:hAnsi="宋体"/>
          <w:color w:val="000000" w:themeColor="text1"/>
          <w:szCs w:val="24"/>
          <w:lang w:val="en-US" w:eastAsia="zh-CN"/>
          <w14:textFill>
            <w14:solidFill>
              <w14:schemeClr w14:val="tx1"/>
            </w14:solidFill>
          </w14:textFill>
        </w:rPr>
        <w:t xml:space="preserve"> </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w:t>
      </w:r>
      <w:r>
        <w:rPr>
          <w:rFonts w:ascii="宋体" w:hAnsi="宋体"/>
          <w:color w:val="000000" w:themeColor="text1"/>
          <w:sz w:val="21"/>
          <w:szCs w:val="21"/>
          <w14:textFill>
            <w14:solidFill>
              <w14:schemeClr w14:val="tx1"/>
            </w14:solidFill>
          </w14:textFill>
        </w:rPr>
        <w:t>人针对本技术规范书所制定的系统核心功能，应深入理解与详细介绍，包括但不限于</w:t>
      </w:r>
      <w:r>
        <w:rPr>
          <w:rFonts w:ascii="宋体" w:hAnsi="宋体" w:cs="宋体"/>
          <w:color w:val="000000" w:themeColor="text1"/>
          <w:kern w:val="0"/>
          <w:sz w:val="21"/>
          <w:szCs w:val="21"/>
          <w:lang w:bidi="ar"/>
          <w14:textFill>
            <w14:solidFill>
              <w14:schemeClr w14:val="tx1"/>
            </w14:solidFill>
          </w14:textFill>
        </w:rPr>
        <w:t>One EDU</w:t>
      </w:r>
      <w:r>
        <w:rPr>
          <w:rFonts w:hint="eastAsia" w:ascii="宋体" w:hAnsi="宋体" w:cs="宋体"/>
          <w:color w:val="000000" w:themeColor="text1"/>
          <w:kern w:val="0"/>
          <w:sz w:val="21"/>
          <w:szCs w:val="21"/>
          <w:lang w:bidi="ar"/>
          <w14:textFill>
            <w14:solidFill>
              <w14:schemeClr w14:val="tx1"/>
            </w14:solidFill>
          </w14:textFill>
        </w:rPr>
        <w:t>平台融合改造</w:t>
      </w:r>
      <w:r>
        <w:rPr>
          <w:rFonts w:ascii="宋体" w:hAnsi="宋体" w:cs="宋体"/>
          <w:color w:val="000000" w:themeColor="text1"/>
          <w:kern w:val="0"/>
          <w:sz w:val="21"/>
          <w:szCs w:val="21"/>
          <w:lang w:bidi="ar"/>
          <w14:textFill>
            <w14:solidFill>
              <w14:schemeClr w14:val="tx1"/>
            </w14:solidFill>
          </w14:textFill>
        </w:rPr>
        <w:t>、应用数据可视化管理、应用门户优化、运营服务优化、交互体验优化、组件能力优化、公文优化、审批优化、打卡优化、学生考勤优化、教师考勤优化、宿舍考勤优化等前后</w:t>
      </w:r>
      <w:r>
        <w:rPr>
          <w:rFonts w:ascii="宋体" w:hAnsi="宋体"/>
          <w:color w:val="000000" w:themeColor="text1"/>
          <w:sz w:val="21"/>
          <w:szCs w:val="21"/>
          <w14:textFill>
            <w14:solidFill>
              <w14:schemeClr w14:val="tx1"/>
            </w14:solidFill>
          </w14:textFill>
        </w:rPr>
        <w:t>台功能优化。功能定位理解应准确，业务流程与功能描述准确，与业务需求应匹配，界面风格设计统一。</w:t>
      </w:r>
    </w:p>
    <w:p>
      <w:pPr>
        <w:pStyle w:val="5"/>
        <w:rPr>
          <w:rFonts w:ascii="宋体" w:hAnsi="宋体" w:eastAsia="宋体"/>
          <w:color w:val="000000" w:themeColor="text1"/>
          <w:szCs w:val="24"/>
          <w14:textFill>
            <w14:solidFill>
              <w14:schemeClr w14:val="tx1"/>
            </w14:solidFill>
          </w14:textFill>
        </w:rPr>
      </w:pPr>
      <w:bookmarkStart w:id="2" w:name="_Toc295225972"/>
      <w:r>
        <w:rPr>
          <w:rFonts w:ascii="宋体" w:hAnsi="宋体" w:eastAsia="宋体"/>
          <w:color w:val="000000" w:themeColor="text1"/>
          <w:szCs w:val="24"/>
          <w14:textFill>
            <w14:solidFill>
              <w14:schemeClr w14:val="tx1"/>
            </w14:solidFill>
          </w14:textFill>
        </w:rPr>
        <w:t xml:space="preserve">OneEDU </w:t>
      </w:r>
      <w:r>
        <w:rPr>
          <w:rFonts w:hint="eastAsia" w:ascii="宋体" w:hAnsi="宋体" w:eastAsia="宋体"/>
          <w:color w:val="000000" w:themeColor="text1"/>
          <w:szCs w:val="24"/>
          <w14:textFill>
            <w14:solidFill>
              <w14:schemeClr w14:val="tx1"/>
            </w14:solidFill>
          </w14:textFill>
        </w:rPr>
        <w:t>平台融合改造</w:t>
      </w:r>
    </w:p>
    <w:p>
      <w:pPr>
        <w:rPr>
          <w:rFonts w:ascii="宋体" w:hAnsi="宋体"/>
          <w:color w:val="000000" w:themeColor="text1"/>
          <w:sz w:val="21"/>
          <w:szCs w:val="21"/>
          <w14:textFill>
            <w14:solidFill>
              <w14:schemeClr w14:val="tx1"/>
            </w14:solidFill>
          </w14:textFill>
        </w:rPr>
      </w:pPr>
    </w:p>
    <w:p>
      <w:pPr>
        <w:pStyle w:val="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融合改造基本规范</w:t>
      </w:r>
    </w:p>
    <w:p>
      <w:pPr>
        <w:rPr>
          <w:rFonts w:ascii="宋体" w:hAnsi="宋体" w:cs="宋体"/>
          <w:color w:val="000000" w:themeColor="text1"/>
          <w:kern w:val="0"/>
          <w:lang w:bidi="ar"/>
          <w14:textFill>
            <w14:solidFill>
              <w14:schemeClr w14:val="tx1"/>
            </w14:solidFill>
          </w14:textFill>
        </w:rPr>
      </w:pPr>
    </w:p>
    <w:p>
      <w:pPr>
        <w:numPr>
          <w:ilvl w:val="0"/>
          <w:numId w:val="5"/>
        </w:numPr>
        <w:spacing w:line="360" w:lineRule="auto"/>
        <w:rPr>
          <w:color w:val="000000" w:themeColor="text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接口协议</w:t>
      </w:r>
      <w:r>
        <w:rPr>
          <w:rFonts w:hint="eastAsia" w:ascii="宋体" w:hAnsi="宋体" w:cs="宋体"/>
          <w:color w:val="000000" w:themeColor="text1"/>
          <w:kern w:val="0"/>
          <w:sz w:val="21"/>
          <w:szCs w:val="21"/>
          <w:lang w:bidi="ar"/>
          <w14:textFill>
            <w14:solidFill>
              <w14:schemeClr w14:val="tx1"/>
            </w14:solidFill>
          </w14:textFill>
        </w:rPr>
        <w:t>：支持基于数据编码、加密传输格式以及整体规范约束内容的接口通信协议。</w:t>
      </w:r>
    </w:p>
    <w:p>
      <w:pPr>
        <w:numPr>
          <w:ilvl w:val="0"/>
          <w:numId w:val="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接口规范</w:t>
      </w:r>
      <w:r>
        <w:rPr>
          <w:rFonts w:hint="eastAsia" w:ascii="宋体" w:hAnsi="宋体" w:cs="宋体"/>
          <w:color w:val="000000" w:themeColor="text1"/>
          <w:kern w:val="0"/>
          <w:sz w:val="21"/>
          <w:szCs w:val="21"/>
          <w:lang w:bidi="ar"/>
          <w14:textFill>
            <w14:solidFill>
              <w14:schemeClr w14:val="tx1"/>
            </w14:solidFill>
          </w14:textFill>
        </w:rPr>
        <w:t>：支持基于请求数据包格式规范、响应数据包格式规范的接口数据规范。</w:t>
      </w:r>
    </w:p>
    <w:p>
      <w:pPr>
        <w:numPr>
          <w:ilvl w:val="0"/>
          <w:numId w:val="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安全策略</w:t>
      </w:r>
      <w:r>
        <w:rPr>
          <w:rFonts w:hint="eastAsia" w:ascii="宋体" w:hAnsi="宋体" w:cs="宋体"/>
          <w:color w:val="000000" w:themeColor="text1"/>
          <w:kern w:val="0"/>
          <w:sz w:val="21"/>
          <w:szCs w:val="21"/>
          <w:lang w:bidi="ar"/>
          <w14:textFill>
            <w14:solidFill>
              <w14:schemeClr w14:val="tx1"/>
            </w14:solidFill>
          </w14:textFill>
        </w:rPr>
        <w:t>：支持基于限定 IP 白名单、约定加密</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解密算法、加密字段范围的接口访问安全策略。</w:t>
      </w:r>
    </w:p>
    <w:p>
      <w:pPr>
        <w:numPr>
          <w:ilvl w:val="0"/>
          <w:numId w:val="5"/>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错误代码</w:t>
      </w:r>
      <w:r>
        <w:rPr>
          <w:rFonts w:hint="eastAsia" w:ascii="宋体" w:hAnsi="宋体" w:cs="宋体"/>
          <w:color w:val="000000" w:themeColor="text1"/>
          <w:kern w:val="0"/>
          <w:sz w:val="21"/>
          <w:szCs w:val="21"/>
          <w:lang w:bidi="ar"/>
          <w14:textFill>
            <w14:solidFill>
              <w14:schemeClr w14:val="tx1"/>
            </w14:solidFill>
          </w14:textFill>
        </w:rPr>
        <w:t>：支持基于标准的错误代码规范，标准的接口返回和业务逻辑处理的接口的错误代码规范。</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基础数据接入-同步融合平台改造</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批量操作</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支持融合平台提供用户信息批量增删改接口，智慧校园</w:t>
      </w:r>
      <w:r>
        <w:rPr>
          <w:rFonts w:ascii="宋体" w:hAnsi="宋体" w:cs="宋体"/>
          <w:color w:val="000000" w:themeColor="text1"/>
          <w:kern w:val="0"/>
          <w:sz w:val="21"/>
          <w:szCs w:val="21"/>
          <w:lang w:bidi="ar"/>
          <w14:textFill>
            <w14:solidFill>
              <w14:schemeClr w14:val="tx1"/>
            </w14:solidFill>
          </w14:textFill>
        </w:rPr>
        <w:t>基础数据发生变更时，</w:t>
      </w:r>
      <w:r>
        <w:rPr>
          <w:rFonts w:hint="eastAsia" w:ascii="宋体" w:hAnsi="宋体" w:cs="宋体"/>
          <w:color w:val="000000" w:themeColor="text1"/>
          <w:kern w:val="0"/>
          <w:sz w:val="21"/>
          <w:szCs w:val="21"/>
          <w:lang w:bidi="ar"/>
          <w14:textFill>
            <w14:solidFill>
              <w14:schemeClr w14:val="tx1"/>
            </w14:solidFill>
          </w14:textFill>
        </w:rPr>
        <w:t>后台调用融合平台接口完成用户数据同步</w:t>
      </w:r>
      <w:r>
        <w:rPr>
          <w:rFonts w:ascii="宋体" w:hAnsi="宋体" w:cs="宋体"/>
          <w:color w:val="000000" w:themeColor="text1"/>
          <w:kern w:val="0"/>
          <w:sz w:val="21"/>
          <w:szCs w:val="21"/>
          <w:lang w:bidi="ar"/>
          <w14:textFill>
            <w14:solidFill>
              <w14:schemeClr w14:val="tx1"/>
            </w14:solidFill>
          </w14:textFill>
        </w:rPr>
        <w:t>至融合平台，保证数据一致性。</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数据增加</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新增加的用户信息</w:t>
      </w:r>
      <w:r>
        <w:rPr>
          <w:rFonts w:hint="eastAsia" w:ascii="宋体" w:hAnsi="宋体" w:cs="宋体"/>
          <w:color w:val="000000" w:themeColor="text1"/>
          <w:kern w:val="0"/>
          <w:sz w:val="21"/>
          <w:szCs w:val="21"/>
          <w:lang w:bidi="ar"/>
          <w14:textFill>
            <w14:solidFill>
              <w14:schemeClr w14:val="tx1"/>
            </w14:solidFill>
          </w14:textFill>
        </w:rPr>
        <w:t>，调用融合平台信息</w:t>
      </w:r>
      <w:r>
        <w:rPr>
          <w:rFonts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bidi="ar"/>
          <w14:textFill>
            <w14:solidFill>
              <w14:schemeClr w14:val="tx1"/>
            </w14:solidFill>
          </w14:textFill>
        </w:rPr>
        <w:t>接口，实时同步至融合平台，达成与融合平台数据一致性目标。</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数据变更</w:t>
      </w:r>
      <w:r>
        <w:rPr>
          <w:rFonts w:hint="eastAsia" w:ascii="宋体" w:hAnsi="宋体" w:cs="宋体"/>
          <w:color w:val="000000" w:themeColor="text1"/>
          <w:kern w:val="0"/>
          <w:sz w:val="21"/>
          <w:szCs w:val="21"/>
          <w:lang w:bidi="ar"/>
          <w14:textFill>
            <w14:solidFill>
              <w14:schemeClr w14:val="tx1"/>
            </w14:solidFill>
          </w14:textFill>
        </w:rPr>
        <w:t>：支持智慧校园的功能和应用中，发生的用户更新属性信息，调用融合平台信息变更接口，实时同步至融合平台，达成与融合平台数据一致性目标。</w:t>
      </w:r>
    </w:p>
    <w:p>
      <w:pPr>
        <w:numPr>
          <w:ilvl w:val="0"/>
          <w:numId w:val="6"/>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：支持智慧校园管理平台发生的移除班级成员、解除家长小孩关系、删除用户等行为时，调用融合平台接口，实时同步，维护与融合平台数据准确性。</w:t>
      </w:r>
    </w:p>
    <w:p>
      <w:pPr>
        <w:numPr>
          <w:ilvl w:val="0"/>
          <w:numId w:val="6"/>
        </w:numPr>
        <w:tabs>
          <w:tab w:val="clear" w:pos="425"/>
        </w:tabs>
        <w:spacing w:line="360" w:lineRule="auto"/>
        <w:rPr>
          <w:rFonts w:ascii="宋体" w:hAnsi="宋体" w:cs="宋体"/>
          <w:b/>
          <w:bCs/>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w:t>
      </w:r>
      <w:r>
        <w:rPr>
          <w:rFonts w:ascii="宋体" w:hAnsi="宋体" w:cs="宋体"/>
          <w:b/>
          <w:bCs/>
          <w:color w:val="000000" w:themeColor="text1"/>
          <w:kern w:val="0"/>
          <w:sz w:val="21"/>
          <w:szCs w:val="21"/>
          <w:lang w:bidi="ar"/>
          <w14:textFill>
            <w14:solidFill>
              <w14:schemeClr w14:val="tx1"/>
            </w14:solidFill>
          </w14:textFill>
        </w:rPr>
        <w:t>同步：</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智慧校园收到融合平台同步的新增、变更、删除代理商</w:t>
      </w:r>
      <w:r>
        <w:rPr>
          <w:rFonts w:hint="eastAsia" w:ascii="宋体" w:hAnsi="宋体" w:cs="宋体"/>
          <w:color w:val="000000" w:themeColor="text1"/>
          <w:kern w:val="0"/>
          <w:sz w:val="21"/>
          <w:szCs w:val="21"/>
          <w:lang w:bidi="ar"/>
          <w14:textFill>
            <w14:solidFill>
              <w14:schemeClr w14:val="tx1"/>
            </w14:solidFill>
          </w14:textFill>
        </w:rPr>
        <w:t>、组织、用户等基础</w:t>
      </w:r>
      <w:r>
        <w:rPr>
          <w:rFonts w:ascii="宋体" w:hAnsi="宋体" w:cs="宋体"/>
          <w:color w:val="000000" w:themeColor="text1"/>
          <w:kern w:val="0"/>
          <w:sz w:val="21"/>
          <w:szCs w:val="21"/>
          <w:lang w:bidi="ar"/>
          <w14:textFill>
            <w14:solidFill>
              <w14:schemeClr w14:val="tx1"/>
            </w14:solidFill>
          </w14:textFill>
        </w:rPr>
        <w:t>信息时</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智慧校园实时调用融合平台同步系列接口，同步信息，保证基础信息一致性。</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智慧校园接收融合平台同步基础数</w:t>
      </w:r>
    </w:p>
    <w:p>
      <w:pPr>
        <w:rPr>
          <w:rFonts w:ascii="宋体" w:hAnsi="宋体"/>
          <w:color w:val="000000" w:themeColor="text1"/>
          <w:sz w:val="21"/>
          <w:szCs w:val="21"/>
          <w14:textFill>
            <w14:solidFill>
              <w14:schemeClr w14:val="tx1"/>
            </w14:solidFill>
          </w14:textFill>
        </w:rPr>
      </w:pPr>
    </w:p>
    <w:p>
      <w:pPr>
        <w:numPr>
          <w:ilvl w:val="0"/>
          <w:numId w:val="7"/>
        </w:numPr>
        <w:spacing w:line="360" w:lineRule="auto"/>
        <w:rPr>
          <w:rFonts w:ascii="宋体" w:hAnsi="宋体"/>
          <w:color w:val="000000" w:themeColor="text1"/>
          <w:sz w:val="21"/>
          <w:szCs w:val="21"/>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w:t>
      </w:r>
      <w:r>
        <w:rPr>
          <w:rFonts w:hint="eastAsia" w:ascii="宋体" w:hAnsi="宋体" w:cs="宋体"/>
          <w:b/>
          <w:bCs/>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收到融合平台同步的新增加的用户信息</w:t>
      </w:r>
      <w:r>
        <w:rPr>
          <w:rFonts w:hint="eastAsia" w:ascii="宋体" w:hAnsi="宋体" w:cs="宋体"/>
          <w:color w:val="000000" w:themeColor="text1"/>
          <w:kern w:val="0"/>
          <w:sz w:val="21"/>
          <w:szCs w:val="21"/>
          <w:lang w:bidi="ar"/>
          <w14:textFill>
            <w14:solidFill>
              <w14:schemeClr w14:val="tx1"/>
            </w14:solidFill>
          </w14:textFill>
        </w:rPr>
        <w:t>，调用融信息</w:t>
      </w:r>
      <w:r>
        <w:rPr>
          <w:rFonts w:ascii="宋体" w:hAnsi="宋体" w:cs="宋体"/>
          <w:color w:val="000000" w:themeColor="text1"/>
          <w:kern w:val="0"/>
          <w:sz w:val="21"/>
          <w:szCs w:val="21"/>
          <w:lang w:bidi="ar"/>
          <w14:textFill>
            <w14:solidFill>
              <w14:schemeClr w14:val="tx1"/>
            </w14:solidFill>
          </w14:textFill>
        </w:rPr>
        <w:t>新增逻辑</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实时更新入库</w:t>
      </w:r>
      <w:r>
        <w:rPr>
          <w:rFonts w:hint="eastAsia" w:ascii="宋体" w:hAnsi="宋体" w:cs="宋体"/>
          <w:color w:val="000000" w:themeColor="text1"/>
          <w:kern w:val="0"/>
          <w:sz w:val="21"/>
          <w:szCs w:val="21"/>
          <w:lang w:bidi="ar"/>
          <w14:textFill>
            <w14:solidFill>
              <w14:schemeClr w14:val="tx1"/>
            </w14:solidFill>
          </w14:textFill>
        </w:rPr>
        <w:t>，达成与融合平台数据一致性目标。</w:t>
      </w:r>
    </w:p>
    <w:p>
      <w:pPr>
        <w:numPr>
          <w:ilvl w:val="0"/>
          <w:numId w:val="7"/>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数据变更</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接收到融合平台同步用户信息变更数据，</w:t>
      </w:r>
      <w:r>
        <w:rPr>
          <w:rFonts w:hint="eastAsia" w:ascii="宋体" w:hAnsi="宋体" w:cs="宋体"/>
          <w:color w:val="000000" w:themeColor="text1"/>
          <w:kern w:val="0"/>
          <w:sz w:val="21"/>
          <w:szCs w:val="21"/>
          <w:lang w:bidi="ar"/>
          <w14:textFill>
            <w14:solidFill>
              <w14:schemeClr w14:val="tx1"/>
            </w14:solidFill>
          </w14:textFill>
        </w:rPr>
        <w:t>调用</w:t>
      </w:r>
      <w:r>
        <w:rPr>
          <w:rFonts w:ascii="宋体" w:hAnsi="宋体" w:cs="宋体"/>
          <w:color w:val="000000" w:themeColor="text1"/>
          <w:kern w:val="0"/>
          <w:sz w:val="21"/>
          <w:szCs w:val="21"/>
          <w:lang w:bidi="ar"/>
          <w14:textFill>
            <w14:solidFill>
              <w14:schemeClr w14:val="tx1"/>
            </w14:solidFill>
          </w14:textFill>
        </w:rPr>
        <w:t>智慧校园数据更新逻辑，实时写入数据库</w:t>
      </w:r>
      <w:r>
        <w:rPr>
          <w:rFonts w:hint="eastAsia" w:ascii="宋体" w:hAnsi="宋体" w:cs="宋体"/>
          <w:color w:val="000000" w:themeColor="text1"/>
          <w:kern w:val="0"/>
          <w:sz w:val="21"/>
          <w:szCs w:val="21"/>
          <w:lang w:bidi="ar"/>
          <w14:textFill>
            <w14:solidFill>
              <w14:schemeClr w14:val="tx1"/>
            </w14:solidFill>
          </w14:textFill>
        </w:rPr>
        <w:t>，达成与融合平台数据一致性目标。</w:t>
      </w:r>
    </w:p>
    <w:p>
      <w:pPr>
        <w:numPr>
          <w:ilvl w:val="0"/>
          <w:numId w:val="7"/>
        </w:numPr>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数据删除</w:t>
      </w:r>
      <w:r>
        <w:rPr>
          <w:rFonts w:hint="eastAsia" w:ascii="宋体" w:hAnsi="宋体" w:cs="宋体"/>
          <w:color w:val="000000" w:themeColor="text1"/>
          <w:kern w:val="0"/>
          <w:sz w:val="21"/>
          <w:szCs w:val="21"/>
          <w:lang w:bidi="ar"/>
          <w14:textFill>
            <w14:solidFill>
              <w14:schemeClr w14:val="tx1"/>
            </w14:solidFill>
          </w14:textFill>
        </w:rPr>
        <w:t>：支持智慧校园</w:t>
      </w:r>
      <w:r>
        <w:rPr>
          <w:rFonts w:ascii="宋体" w:hAnsi="宋体" w:cs="宋体"/>
          <w:color w:val="000000" w:themeColor="text1"/>
          <w:kern w:val="0"/>
          <w:sz w:val="21"/>
          <w:szCs w:val="21"/>
          <w:lang w:bidi="ar"/>
          <w14:textFill>
            <w14:solidFill>
              <w14:schemeClr w14:val="tx1"/>
            </w14:solidFill>
          </w14:textFill>
        </w:rPr>
        <w:t>收到融合平台同步的</w:t>
      </w:r>
      <w:r>
        <w:rPr>
          <w:rFonts w:hint="eastAsia" w:ascii="宋体" w:hAnsi="宋体" w:cs="宋体"/>
          <w:color w:val="000000" w:themeColor="text1"/>
          <w:kern w:val="0"/>
          <w:sz w:val="21"/>
          <w:szCs w:val="21"/>
          <w:lang w:bidi="ar"/>
          <w14:textFill>
            <w14:solidFill>
              <w14:schemeClr w14:val="tx1"/>
            </w14:solidFill>
          </w14:textFill>
        </w:rPr>
        <w:t>移除班级成员、解除家长小孩关系、删除用户等行为时，调用</w:t>
      </w:r>
      <w:r>
        <w:rPr>
          <w:rFonts w:ascii="宋体" w:hAnsi="宋体" w:cs="宋体"/>
          <w:color w:val="000000" w:themeColor="text1"/>
          <w:kern w:val="0"/>
          <w:sz w:val="21"/>
          <w:szCs w:val="21"/>
          <w:lang w:bidi="ar"/>
          <w14:textFill>
            <w14:solidFill>
              <w14:schemeClr w14:val="tx1"/>
            </w14:solidFill>
          </w14:textFill>
        </w:rPr>
        <w:t>智慧校园数据删除逻辑</w:t>
      </w:r>
      <w:r>
        <w:rPr>
          <w:rFonts w:hint="eastAsia" w:ascii="宋体" w:hAnsi="宋体" w:cs="宋体"/>
          <w:color w:val="000000" w:themeColor="text1"/>
          <w:kern w:val="0"/>
          <w:sz w:val="21"/>
          <w:szCs w:val="21"/>
          <w:lang w:bidi="ar"/>
          <w14:textFill>
            <w14:solidFill>
              <w14:schemeClr w14:val="tx1"/>
            </w14:solidFill>
          </w14:textFill>
        </w:rPr>
        <w:t>，实时</w:t>
      </w:r>
      <w:r>
        <w:rPr>
          <w:rFonts w:ascii="宋体" w:hAnsi="宋体" w:cs="宋体"/>
          <w:color w:val="000000" w:themeColor="text1"/>
          <w:kern w:val="0"/>
          <w:sz w:val="21"/>
          <w:szCs w:val="21"/>
          <w:lang w:bidi="ar"/>
          <w14:textFill>
            <w14:solidFill>
              <w14:schemeClr w14:val="tx1"/>
            </w14:solidFill>
          </w14:textFill>
        </w:rPr>
        <w:t>写入数据库</w:t>
      </w:r>
      <w:r>
        <w:rPr>
          <w:rFonts w:hint="eastAsia" w:ascii="宋体" w:hAnsi="宋体" w:cs="宋体"/>
          <w:color w:val="000000" w:themeColor="text1"/>
          <w:kern w:val="0"/>
          <w:sz w:val="21"/>
          <w:szCs w:val="21"/>
          <w:lang w:bidi="ar"/>
          <w14:textFill>
            <w14:solidFill>
              <w14:schemeClr w14:val="tx1"/>
            </w14:solidFill>
          </w14:textFill>
        </w:rPr>
        <w:t>，维护与融合平台数据准确性。</w:t>
      </w:r>
    </w:p>
    <w:p>
      <w:pPr>
        <w:numPr>
          <w:ilvl w:val="0"/>
          <w:numId w:val="7"/>
        </w:numPr>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数据</w:t>
      </w:r>
      <w:r>
        <w:rPr>
          <w:rFonts w:ascii="宋体" w:hAnsi="宋体" w:cs="宋体"/>
          <w:b/>
          <w:bCs/>
          <w:color w:val="000000" w:themeColor="text1"/>
          <w:kern w:val="0"/>
          <w:sz w:val="21"/>
          <w:szCs w:val="21"/>
          <w:lang w:bidi="ar"/>
          <w14:textFill>
            <w14:solidFill>
              <w14:schemeClr w14:val="tx1"/>
            </w14:solidFill>
          </w14:textFill>
        </w:rPr>
        <w:t>同步</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智慧校园收到融合平台同步的新增、变更、删除代理商</w:t>
      </w:r>
      <w:r>
        <w:rPr>
          <w:rFonts w:hint="eastAsia" w:ascii="宋体" w:hAnsi="宋体" w:cs="宋体"/>
          <w:color w:val="000000" w:themeColor="text1"/>
          <w:kern w:val="0"/>
          <w:sz w:val="21"/>
          <w:szCs w:val="21"/>
          <w:lang w:bidi="ar"/>
          <w14:textFill>
            <w14:solidFill>
              <w14:schemeClr w14:val="tx1"/>
            </w14:solidFill>
          </w14:textFill>
        </w:rPr>
        <w:t>、组织、用户等基础</w:t>
      </w:r>
      <w:r>
        <w:rPr>
          <w:rFonts w:ascii="宋体" w:hAnsi="宋体" w:cs="宋体"/>
          <w:color w:val="000000" w:themeColor="text1"/>
          <w:kern w:val="0"/>
          <w:sz w:val="21"/>
          <w:szCs w:val="21"/>
          <w:lang w:bidi="ar"/>
          <w14:textFill>
            <w14:solidFill>
              <w14:schemeClr w14:val="tx1"/>
            </w14:solidFill>
          </w14:textFill>
        </w:rPr>
        <w:t>信息时</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智慧校园实时调用校验逻辑，校验通过后将数据按时写入数据库，维护数据一致性。</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智慧校园实时查询融合平台基础数据并更新改造</w:t>
      </w:r>
    </w:p>
    <w:p>
      <w:pPr>
        <w:numPr>
          <w:ilvl w:val="0"/>
          <w:numId w:val="8"/>
        </w:numPr>
        <w:spacing w:line="360" w:lineRule="auto"/>
        <w:rPr>
          <w:rFonts w:ascii="宋体" w:hAnsi="宋体"/>
          <w:color w:val="000000" w:themeColor="text1"/>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差异比对</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支持智慧校园功能和应用启动时，调用融合平台基础数据服务接口，获取学校数据、班级数据、产品应用列表、教师、用户基础数据和关系数据，作为智慧校园的基础数据</w:t>
      </w:r>
      <w:r>
        <w:rPr>
          <w:rFonts w:ascii="宋体" w:hAnsi="宋体" w:cs="宋体"/>
          <w:color w:val="000000" w:themeColor="text1"/>
          <w:kern w:val="0"/>
          <w:sz w:val="21"/>
          <w:szCs w:val="21"/>
          <w:lang w:bidi="ar"/>
          <w14:textFill>
            <w14:solidFill>
              <w14:schemeClr w14:val="tx1"/>
            </w14:solidFill>
          </w14:textFill>
        </w:rPr>
        <w:t>标准参照，并更新差异数据</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8"/>
        </w:numPr>
        <w:tabs>
          <w:tab w:val="clear" w:pos="425"/>
        </w:tabs>
        <w:spacing w:line="360" w:lineRule="auto"/>
        <w:rPr>
          <w:rFonts w:ascii="宋体" w:hAnsi="宋体" w:cs="宋体"/>
          <w:b/>
          <w:bCs/>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用户校验</w:t>
      </w:r>
      <w:r>
        <w:rPr>
          <w:rFonts w:hint="eastAsia" w:ascii="宋体" w:hAnsi="宋体" w:cs="宋体"/>
          <w:color w:val="000000" w:themeColor="text1"/>
          <w:kern w:val="0"/>
          <w:sz w:val="21"/>
          <w:szCs w:val="21"/>
          <w:lang w:bidi="ar"/>
          <w14:textFill>
            <w14:solidFill>
              <w14:schemeClr w14:val="tx1"/>
            </w14:solidFill>
          </w14:textFill>
        </w:rPr>
        <w:t>：支持智慧校园平台无角色用户，可调用融合平台用户校验接口,校验用户是否为平台侧用户，确保业务平台使用安全。</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统一UI改造</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融合平台发布统一 UI标准规范：</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智慧校园根据统一 UI 规范更新 Logo、配色方案、页面布局等。</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统一 Logo改造：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智慧校园按照统一 UI 规范，升级更新客户端 Logo、WEB 端 Logo，实现用户搜索展现产品表现样式统一效果。</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接入融合平台产品改造：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智慧校园客户端各端统一接入融合平台提供的 Banner 推送，实现融合平台可以定制化推送广告内容到智慧校园客户端，展现给最终用户。</w:t>
      </w:r>
    </w:p>
    <w:p>
      <w:pPr>
        <w:numPr>
          <w:ilvl w:val="0"/>
          <w:numId w:val="9"/>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接入融合平台产品改造：</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智慧校园客户端各端统一接入融合平台提供的活动推送，实现融合平台可以定制化推送学习应用到智慧校园客户端，提供给最终用户使用。</w:t>
      </w:r>
    </w:p>
    <w:p>
      <w:pPr>
        <w:pStyle w:val="6"/>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lang w:bidi="ar"/>
          <w14:textFill>
            <w14:solidFill>
              <w14:schemeClr w14:val="tx1"/>
            </w14:solidFill>
          </w14:textFill>
        </w:rPr>
        <w:t>统一认证服务接入改造</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统一认证规范</w:t>
      </w:r>
      <w:r>
        <w:rPr>
          <w:rFonts w:hint="eastAsia" w:ascii="宋体" w:hAnsi="宋体" w:cs="宋体"/>
          <w:color w:val="000000" w:themeColor="text1"/>
          <w:kern w:val="0"/>
          <w:sz w:val="21"/>
          <w:szCs w:val="21"/>
          <w:lang w:bidi="ar"/>
          <w14:textFill>
            <w14:solidFill>
              <w14:schemeClr w14:val="tx1"/>
            </w14:solidFill>
          </w14:textFill>
        </w:rPr>
        <w:t>：智慧校园遵循融合平台统一认证服务规范进行改造，将智慧校园管理后台和业务平台接入到融合平台，支持用户体系的统一管理，形成安全、简便的账号认证流程。</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标准</w:t>
      </w:r>
      <w:r>
        <w:rPr>
          <w:rFonts w:ascii="宋体" w:hAnsi="宋体" w:cs="宋体"/>
          <w:b/>
          <w:bCs/>
          <w:color w:val="000000" w:themeColor="text1"/>
          <w:kern w:val="0"/>
          <w:sz w:val="21"/>
          <w:szCs w:val="21"/>
          <w:lang w:bidi="ar"/>
          <w14:textFill>
            <w14:solidFill>
              <w14:schemeClr w14:val="tx1"/>
            </w14:solidFill>
          </w14:textFill>
        </w:rPr>
        <w:t>SSO</w:t>
      </w:r>
      <w:r>
        <w:rPr>
          <w:rFonts w:hint="eastAsia" w:ascii="宋体" w:hAnsi="宋体" w:cs="宋体"/>
          <w:b/>
          <w:bCs/>
          <w:color w:val="000000" w:themeColor="text1"/>
          <w:kern w:val="0"/>
          <w:sz w:val="21"/>
          <w:szCs w:val="21"/>
          <w:lang w:bidi="ar"/>
          <w14:textFill>
            <w14:solidFill>
              <w14:schemeClr w14:val="tx1"/>
            </w14:solidFill>
          </w14:textFill>
        </w:rPr>
        <w:t>接入</w:t>
      </w:r>
      <w:r>
        <w:rPr>
          <w:rFonts w:hint="eastAsia" w:ascii="宋体" w:hAnsi="宋体" w:cs="宋体"/>
          <w:color w:val="000000" w:themeColor="text1"/>
          <w:kern w:val="0"/>
          <w:sz w:val="21"/>
          <w:szCs w:val="21"/>
          <w:lang w:bidi="ar"/>
          <w14:textFill>
            <w14:solidFill>
              <w14:schemeClr w14:val="tx1"/>
            </w14:solidFill>
          </w14:textFill>
        </w:rPr>
        <w:t>：支持用户通过浏览器访问智慧校园平台无</w:t>
      </w:r>
      <w:r>
        <w:rPr>
          <w:rFonts w:ascii="宋体" w:hAnsi="宋体" w:cs="宋体"/>
          <w:color w:val="000000" w:themeColor="text1"/>
          <w:kern w:val="0"/>
          <w:sz w:val="21"/>
          <w:szCs w:val="21"/>
          <w:lang w:bidi="ar"/>
          <w14:textFill>
            <w14:solidFill>
              <w14:schemeClr w14:val="tx1"/>
            </w14:solidFill>
          </w14:textFill>
        </w:rPr>
        <w:t>SESSION</w:t>
      </w:r>
      <w:r>
        <w:rPr>
          <w:rFonts w:hint="eastAsia" w:ascii="宋体" w:hAnsi="宋体" w:cs="宋体"/>
          <w:color w:val="000000" w:themeColor="text1"/>
          <w:kern w:val="0"/>
          <w:sz w:val="21"/>
          <w:szCs w:val="21"/>
          <w:lang w:bidi="ar"/>
          <w14:textFill>
            <w14:solidFill>
              <w14:schemeClr w14:val="tx1"/>
            </w14:solidFill>
          </w14:textFill>
        </w:rPr>
        <w:t>情况下通过重定向到统一身份认证平台</w:t>
      </w:r>
      <w:r>
        <w:rPr>
          <w:rFonts w:ascii="宋体" w:hAnsi="宋体" w:cs="宋体"/>
          <w:color w:val="000000" w:themeColor="text1"/>
          <w:kern w:val="0"/>
          <w:sz w:val="21"/>
          <w:szCs w:val="21"/>
          <w:lang w:bidi="ar"/>
          <w14:textFill>
            <w14:solidFill>
              <w14:schemeClr w14:val="tx1"/>
            </w14:solidFill>
          </w14:textFill>
        </w:rPr>
        <w:t>TGT</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ST</w:t>
      </w:r>
      <w:r>
        <w:rPr>
          <w:rFonts w:hint="eastAsia" w:ascii="宋体" w:hAnsi="宋体" w:cs="宋体"/>
          <w:color w:val="000000" w:themeColor="text1"/>
          <w:kern w:val="0"/>
          <w:sz w:val="21"/>
          <w:szCs w:val="21"/>
          <w:lang w:bidi="ar"/>
          <w14:textFill>
            <w14:solidFill>
              <w14:schemeClr w14:val="tx1"/>
            </w14:solidFill>
          </w14:textFill>
        </w:rPr>
        <w:t>认证，保证认证过程安全可靠。</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基于接口登录接入</w:t>
      </w:r>
      <w:r>
        <w:rPr>
          <w:rFonts w:hint="eastAsia" w:ascii="宋体" w:hAnsi="宋体" w:cs="宋体"/>
          <w:color w:val="000000" w:themeColor="text1"/>
          <w:kern w:val="0"/>
          <w:sz w:val="21"/>
          <w:szCs w:val="21"/>
          <w:lang w:bidi="ar"/>
          <w14:textFill>
            <w14:solidFill>
              <w14:schemeClr w14:val="tx1"/>
            </w14:solidFill>
          </w14:textFill>
        </w:rPr>
        <w:t>：支持用户通过手机客户端访问智慧校园，智慧校园平台无</w:t>
      </w:r>
      <w:r>
        <w:rPr>
          <w:rFonts w:ascii="宋体" w:hAnsi="宋体" w:cs="宋体"/>
          <w:color w:val="000000" w:themeColor="text1"/>
          <w:kern w:val="0"/>
          <w:sz w:val="21"/>
          <w:szCs w:val="21"/>
          <w:lang w:bidi="ar"/>
          <w14:textFill>
            <w14:solidFill>
              <w14:schemeClr w14:val="tx1"/>
            </w14:solidFill>
          </w14:textFill>
        </w:rPr>
        <w:t>SESSION</w:t>
      </w:r>
      <w:r>
        <w:rPr>
          <w:rFonts w:hint="eastAsia" w:ascii="宋体" w:hAnsi="宋体" w:cs="宋体"/>
          <w:color w:val="000000" w:themeColor="text1"/>
          <w:kern w:val="0"/>
          <w:sz w:val="21"/>
          <w:szCs w:val="21"/>
          <w:lang w:bidi="ar"/>
          <w14:textFill>
            <w14:solidFill>
              <w14:schemeClr w14:val="tx1"/>
            </w14:solidFill>
          </w14:textFill>
        </w:rPr>
        <w:t>情况下通过重定向到统一身份认证平台</w:t>
      </w:r>
      <w:r>
        <w:rPr>
          <w:rFonts w:ascii="宋体" w:hAnsi="宋体" w:cs="宋体"/>
          <w:color w:val="000000" w:themeColor="text1"/>
          <w:kern w:val="0"/>
          <w:sz w:val="21"/>
          <w:szCs w:val="21"/>
          <w:lang w:bidi="ar"/>
          <w14:textFill>
            <w14:solidFill>
              <w14:schemeClr w14:val="tx1"/>
            </w14:solidFill>
          </w14:textFill>
        </w:rPr>
        <w:t>TGT</w:t>
      </w:r>
      <w:r>
        <w:rPr>
          <w:rFonts w:hint="eastAsia" w:ascii="宋体" w:hAnsi="宋体" w:cs="宋体"/>
          <w:color w:val="000000" w:themeColor="text1"/>
          <w:kern w:val="0"/>
          <w:sz w:val="21"/>
          <w:szCs w:val="21"/>
          <w:lang w:bidi="ar"/>
          <w14:textFill>
            <w14:solidFill>
              <w14:schemeClr w14:val="tx1"/>
            </w14:solidFill>
          </w14:textFill>
        </w:rPr>
        <w:t>、</w:t>
      </w:r>
      <w:r>
        <w:rPr>
          <w:rFonts w:ascii="宋体" w:hAnsi="宋体" w:cs="宋体"/>
          <w:color w:val="000000" w:themeColor="text1"/>
          <w:kern w:val="0"/>
          <w:sz w:val="21"/>
          <w:szCs w:val="21"/>
          <w:lang w:bidi="ar"/>
          <w14:textFill>
            <w14:solidFill>
              <w14:schemeClr w14:val="tx1"/>
            </w14:solidFill>
          </w14:textFill>
        </w:rPr>
        <w:t>ST</w:t>
      </w:r>
      <w:r>
        <w:rPr>
          <w:rFonts w:hint="eastAsia" w:ascii="宋体" w:hAnsi="宋体" w:cs="宋体"/>
          <w:color w:val="000000" w:themeColor="text1"/>
          <w:kern w:val="0"/>
          <w:sz w:val="21"/>
          <w:szCs w:val="21"/>
          <w:lang w:bidi="ar"/>
          <w14:textFill>
            <w14:solidFill>
              <w14:schemeClr w14:val="tx1"/>
            </w14:solidFill>
          </w14:textFill>
        </w:rPr>
        <w:t>认证，保证认证过程安全可靠。</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一键登录接入</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用户在Android 或 iOS 客户端登录，在数据流量环境下，可使用本机号码快捷安全登录，使用融合平台统一认证提供的一键登录能力。</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ascii="宋体" w:hAnsi="宋体" w:cs="宋体"/>
          <w:b/>
          <w:bCs/>
          <w:color w:val="000000" w:themeColor="text1"/>
          <w:kern w:val="0"/>
          <w:sz w:val="21"/>
          <w:szCs w:val="21"/>
          <w:lang w:bidi="ar"/>
          <w14:textFill>
            <w14:solidFill>
              <w14:schemeClr w14:val="tx1"/>
            </w14:solidFill>
          </w14:textFill>
        </w:rPr>
        <w:t>短信验证码登录接入</w:t>
      </w:r>
      <w:r>
        <w:rPr>
          <w:rFonts w:ascii="宋体" w:hAnsi="宋体" w:cs="宋体"/>
          <w:color w:val="000000" w:themeColor="text1"/>
          <w:kern w:val="0"/>
          <w:sz w:val="21"/>
          <w:szCs w:val="21"/>
          <w:lang w:bidi="ar"/>
          <w14:textFill>
            <w14:solidFill>
              <w14:schemeClr w14:val="tx1"/>
            </w14:solidFill>
          </w14:textFill>
        </w:rPr>
        <w:t>：</w:t>
      </w:r>
      <w:r>
        <w:rPr>
          <w:rFonts w:hint="eastAsia" w:ascii="宋体" w:hAnsi="宋体" w:cs="宋体"/>
          <w:color w:val="000000" w:themeColor="text1"/>
          <w:kern w:val="0"/>
          <w:sz w:val="21"/>
          <w:szCs w:val="21"/>
          <w:lang w:bidi="ar"/>
          <w14:textFill>
            <w14:solidFill>
              <w14:schemeClr w14:val="tx1"/>
            </w14:solidFill>
          </w14:textFill>
        </w:rPr>
        <w:t>支持</w:t>
      </w:r>
      <w:r>
        <w:rPr>
          <w:rFonts w:ascii="宋体" w:hAnsi="宋体" w:cs="宋体"/>
          <w:color w:val="000000" w:themeColor="text1"/>
          <w:kern w:val="0"/>
          <w:sz w:val="21"/>
          <w:szCs w:val="21"/>
          <w:lang w:bidi="ar"/>
          <w14:textFill>
            <w14:solidFill>
              <w14:schemeClr w14:val="tx1"/>
            </w14:solidFill>
          </w14:textFill>
        </w:rPr>
        <w:t>用户在各端登录，可使用用户账号号码，使用短信验证码安全登录，使用融合平台统一认证提供的短信验证码登录能力。</w:t>
      </w:r>
    </w:p>
    <w:p>
      <w:pPr>
        <w:numPr>
          <w:ilvl w:val="0"/>
          <w:numId w:val="10"/>
        </w:numPr>
        <w:tabs>
          <w:tab w:val="clear" w:pos="425"/>
        </w:tabs>
        <w:spacing w:line="360" w:lineRule="auto"/>
        <w:rPr>
          <w:rFonts w:ascii="宋体" w:hAnsi="宋体" w:cs="宋体"/>
          <w:color w:val="000000" w:themeColor="text1"/>
          <w:kern w:val="0"/>
          <w:sz w:val="21"/>
          <w:szCs w:val="21"/>
          <w:lang w:bidi="ar"/>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账户、密码</w:t>
      </w:r>
      <w:r>
        <w:rPr>
          <w:rFonts w:ascii="宋体" w:hAnsi="宋体" w:cs="宋体"/>
          <w:b/>
          <w:bCs/>
          <w:color w:val="000000" w:themeColor="text1"/>
          <w:kern w:val="0"/>
          <w:sz w:val="21"/>
          <w:szCs w:val="21"/>
          <w:lang w:bidi="ar"/>
          <w14:textFill>
            <w14:solidFill>
              <w14:schemeClr w14:val="tx1"/>
            </w14:solidFill>
          </w14:textFill>
        </w:rPr>
        <w:t>登录接入</w:t>
      </w:r>
      <w:r>
        <w:rPr>
          <w:rFonts w:ascii="宋体" w:hAnsi="宋体" w:cs="宋体"/>
          <w:color w:val="000000" w:themeColor="text1"/>
          <w:kern w:val="0"/>
          <w:sz w:val="21"/>
          <w:szCs w:val="21"/>
          <w:lang w:bidi="ar"/>
          <w14:textFill>
            <w14:solidFill>
              <w14:schemeClr w14:val="tx1"/>
            </w14:solidFill>
          </w14:textFill>
        </w:rPr>
        <w:t>：用户在各端登录，可使用用户账号号码+密码安全登录，智慧校园接入融合平台统一认证提供的帐密登录校验能力。</w:t>
      </w:r>
    </w:p>
    <w:p>
      <w:pPr>
        <w:autoSpaceDE w:val="0"/>
        <w:spacing w:line="360" w:lineRule="auto"/>
        <w:rPr>
          <w:rFonts w:ascii="宋体" w:hAnsi="宋体" w:cs="宋体"/>
          <w:color w:val="000000" w:themeColor="text1"/>
          <w:kern w:val="0"/>
          <w:sz w:val="21"/>
          <w:szCs w:val="21"/>
          <w:lang w:bidi="ar"/>
          <w14:textFill>
            <w14:solidFill>
              <w14:schemeClr w14:val="tx1"/>
            </w14:solidFill>
          </w14:textFill>
        </w:rPr>
      </w:pPr>
    </w:p>
    <w:p>
      <w:pPr>
        <w:pStyle w:val="5"/>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交互体验优化</w:t>
      </w:r>
    </w:p>
    <w:p>
      <w:pPr>
        <w:pStyle w:val="6"/>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安卓可视化交互优化</w:t>
      </w:r>
    </w:p>
    <w:p>
      <w:pPr>
        <w:numPr>
          <w:ilvl w:val="0"/>
          <w:numId w:val="11"/>
        </w:numPr>
        <w:autoSpaceDE w:val="0"/>
        <w:spacing w:line="360" w:lineRule="auto"/>
      </w:pPr>
      <w:r>
        <w:rPr>
          <w:rFonts w:hint="eastAsia" w:ascii="宋体" w:hAnsi="宋体" w:cs="宋体"/>
          <w:b/>
          <w:bCs/>
          <w:color w:val="000000" w:themeColor="text1"/>
          <w:kern w:val="0"/>
          <w:sz w:val="21"/>
          <w:szCs w:val="21"/>
          <w:lang w:bidi="ar"/>
          <w14:textFill>
            <w14:solidFill>
              <w14:schemeClr w14:val="tx1"/>
            </w14:solidFill>
          </w14:textFill>
        </w:rPr>
        <w:t>机构：</w:t>
      </w:r>
      <w:r>
        <w:rPr>
          <w:rFonts w:hint="eastAsia" w:ascii="宋体" w:hAnsi="宋体" w:cs="宋体"/>
          <w:color w:val="000000" w:themeColor="text1"/>
          <w:kern w:val="0"/>
          <w:sz w:val="21"/>
          <w:szCs w:val="21"/>
          <w:lang w:bidi="ar"/>
          <w14:textFill>
            <w14:solidFill>
              <w14:schemeClr w14:val="tx1"/>
            </w14:solidFill>
          </w14:textFill>
        </w:rPr>
        <w:t>支持在机构栏展示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11"/>
        </w:numPr>
        <w:autoSpaceDE w:val="0"/>
        <w:spacing w:line="360" w:lineRule="auto"/>
      </w:pPr>
      <w:r>
        <w:rPr>
          <w:rFonts w:hint="eastAsia" w:ascii="宋体" w:hAnsi="宋体" w:cs="宋体"/>
          <w:b/>
          <w:bCs/>
          <w:color w:val="000000" w:themeColor="text1"/>
          <w:kern w:val="0"/>
          <w:sz w:val="21"/>
          <w:szCs w:val="21"/>
          <w:lang w:bidi="ar"/>
          <w14:textFill>
            <w14:solidFill>
              <w14:schemeClr w14:val="tx1"/>
            </w14:solidFill>
          </w14:textFill>
        </w:rPr>
        <w:t>消息广场</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在</w:t>
      </w:r>
      <w:r>
        <w:rPr>
          <w:rFonts w:hint="eastAsia" w:ascii="宋体" w:hAnsi="宋体" w:cs="宋体"/>
          <w:color w:val="000000" w:themeColor="text1"/>
          <w:kern w:val="0"/>
          <w:sz w:val="21"/>
          <w:szCs w:val="21"/>
          <w:lang w:bidi="ar"/>
          <w14:textFill>
            <w14:solidFill>
              <w14:schemeClr w14:val="tx1"/>
            </w14:solidFill>
          </w14:textFill>
        </w:rPr>
        <w:t>首页</w:t>
      </w:r>
      <w:r>
        <w:rPr>
          <w:rFonts w:hint="eastAsia" w:ascii="宋体" w:hAnsi="宋体" w:cs="宋体"/>
          <w:color w:val="000000" w:themeColor="text1"/>
          <w:kern w:val="0"/>
          <w:sz w:val="21"/>
          <w:szCs w:val="21"/>
          <w:lang w:eastAsia="zh-Hans" w:bidi="ar"/>
          <w14:textFill>
            <w14:solidFill>
              <w14:schemeClr w14:val="tx1"/>
            </w14:solidFill>
          </w14:textFill>
        </w:rPr>
        <w:t>展示新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提示；支持用户在首页查看消息详情、</w:t>
      </w:r>
      <w:r>
        <w:rPr>
          <w:rFonts w:hint="eastAsia"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eastAsia="zh-Hans" w:bidi="ar"/>
          <w14:textFill>
            <w14:solidFill>
              <w14:schemeClr w14:val="tx1"/>
            </w14:solidFill>
          </w14:textFill>
        </w:rPr>
        <w:t>动态消息和删除</w:t>
      </w:r>
      <w:r>
        <w:rPr>
          <w:rFonts w:hint="eastAsia" w:ascii="宋体" w:hAnsi="宋体" w:cs="宋体"/>
          <w:color w:val="000000" w:themeColor="text1"/>
          <w:kern w:val="0"/>
          <w:sz w:val="21"/>
          <w:szCs w:val="21"/>
          <w:lang w:bidi="ar"/>
          <w14:textFill>
            <w14:solidFill>
              <w14:schemeClr w14:val="tx1"/>
            </w14:solidFill>
          </w14:textFill>
        </w:rPr>
        <w:t>消息。</w:t>
      </w:r>
    </w:p>
    <w:p>
      <w:pPr>
        <w:numPr>
          <w:ilvl w:val="0"/>
          <w:numId w:val="11"/>
        </w:numPr>
        <w:autoSpaceDE w:val="0"/>
        <w:spacing w:line="360" w:lineRule="auto"/>
      </w:pPr>
      <w:r>
        <w:rPr>
          <w:rFonts w:hint="eastAsia"/>
          <w:b/>
          <w:bCs/>
        </w:rPr>
        <w:t>空间广场：</w:t>
      </w:r>
      <w:r>
        <w:rPr>
          <w:rFonts w:hint="eastAsia" w:ascii="宋体" w:hAnsi="宋体" w:cs="宋体"/>
          <w:color w:val="000000" w:themeColor="text1"/>
          <w:kern w:val="0"/>
          <w:sz w:val="21"/>
          <w:szCs w:val="21"/>
          <w:lang w:bidi="ar"/>
          <w14:textFill>
            <w14:solidFill>
              <w14:schemeClr w14:val="tx1"/>
            </w14:solidFill>
          </w14:textFill>
        </w:rPr>
        <w:t>支持在空间</w:t>
      </w:r>
      <w:r>
        <w:rPr>
          <w:rFonts w:hint="eastAsia" w:ascii="宋体" w:hAnsi="宋体" w:cs="宋体"/>
          <w:color w:val="000000" w:themeColor="text1"/>
          <w:kern w:val="0"/>
          <w:sz w:val="21"/>
          <w:szCs w:val="21"/>
          <w:lang w:eastAsia="zh-Hans" w:bidi="ar"/>
          <w14:textFill>
            <w14:solidFill>
              <w14:schemeClr w14:val="tx1"/>
            </w14:solidFill>
          </w14:textFill>
        </w:rPr>
        <w:t>页</w:t>
      </w:r>
      <w:r>
        <w:rPr>
          <w:rFonts w:hint="eastAsia" w:ascii="宋体" w:hAnsi="宋体" w:cs="宋体"/>
          <w:color w:val="000000" w:themeColor="text1"/>
          <w:kern w:val="0"/>
          <w:sz w:val="21"/>
          <w:szCs w:val="21"/>
          <w:lang w:bidi="ar"/>
          <w14:textFill>
            <w14:solidFill>
              <w14:schemeClr w14:val="tx1"/>
            </w14:solidFill>
          </w14:textFill>
        </w:rPr>
        <w:t>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；支持用户</w:t>
      </w:r>
      <w:r>
        <w:rPr>
          <w:rFonts w:hint="eastAsia" w:ascii="宋体" w:hAnsi="宋体" w:cs="宋体"/>
          <w:color w:val="000000" w:themeColor="text1"/>
          <w:kern w:val="0"/>
          <w:sz w:val="21"/>
          <w:szCs w:val="21"/>
          <w:lang w:eastAsia="zh-Hans" w:bidi="ar"/>
          <w14:textFill>
            <w14:solidFill>
              <w14:schemeClr w14:val="tx1"/>
            </w14:solidFill>
          </w14:textFill>
        </w:rPr>
        <w:t>在空间页</w:t>
      </w:r>
      <w:r>
        <w:rPr>
          <w:rFonts w:hint="eastAsia" w:ascii="宋体" w:hAnsi="宋体" w:cs="宋体"/>
          <w:color w:val="000000" w:themeColor="text1"/>
          <w:kern w:val="0"/>
          <w:sz w:val="21"/>
          <w:szCs w:val="21"/>
          <w:lang w:bidi="ar"/>
          <w14:textFill>
            <w14:solidFill>
              <w14:schemeClr w14:val="tx1"/>
            </w14:solidFill>
          </w14:textFill>
        </w:rPr>
        <w:t>查看消息</w:t>
      </w:r>
      <w:r>
        <w:rPr>
          <w:rFonts w:hint="eastAsia" w:ascii="宋体" w:hAnsi="宋体" w:cs="宋体"/>
          <w:color w:val="000000" w:themeColor="text1"/>
          <w:kern w:val="0"/>
          <w:sz w:val="21"/>
          <w:szCs w:val="21"/>
          <w:lang w:eastAsia="zh-Hans" w:bidi="ar"/>
          <w14:textFill>
            <w14:solidFill>
              <w14:schemeClr w14:val="tx1"/>
            </w14:solidFill>
          </w14:textFill>
        </w:rPr>
        <w:t>详情、</w:t>
      </w:r>
      <w:r>
        <w:rPr>
          <w:rFonts w:hint="eastAsia"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eastAsia="zh-Hans" w:bidi="ar"/>
          <w14:textFill>
            <w14:solidFill>
              <w14:schemeClr w14:val="tx1"/>
            </w14:solidFill>
          </w14:textFill>
        </w:rPr>
        <w:t>动态和删除</w:t>
      </w:r>
      <w:r>
        <w:rPr>
          <w:rFonts w:hint="eastAsia" w:ascii="宋体" w:hAnsi="宋体" w:cs="宋体"/>
          <w:color w:val="000000" w:themeColor="text1"/>
          <w:kern w:val="0"/>
          <w:sz w:val="21"/>
          <w:szCs w:val="21"/>
          <w:lang w:bidi="ar"/>
          <w14:textFill>
            <w14:solidFill>
              <w14:schemeClr w14:val="tx1"/>
            </w14:solidFill>
          </w14:textFill>
        </w:rPr>
        <w:t>消息。</w:t>
      </w:r>
    </w:p>
    <w:p>
      <w:pPr>
        <w:pStyle w:val="2"/>
      </w:pPr>
    </w:p>
    <w:p>
      <w:pPr>
        <w:pStyle w:val="6"/>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iOS可视化交互优化</w:t>
      </w:r>
    </w:p>
    <w:p>
      <w:pPr>
        <w:numPr>
          <w:ilvl w:val="0"/>
          <w:numId w:val="1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机构</w:t>
      </w:r>
      <w:r>
        <w:rPr>
          <w:rFonts w:hint="eastAsia" w:ascii="宋体" w:hAnsi="宋体" w:cs="宋体"/>
          <w:color w:val="000000" w:themeColor="text1"/>
          <w:kern w:val="0"/>
          <w:sz w:val="21"/>
          <w:szCs w:val="21"/>
          <w:lang w:bidi="ar"/>
          <w14:textFill>
            <w14:solidFill>
              <w14:schemeClr w14:val="tx1"/>
            </w14:solidFill>
          </w14:textFill>
        </w:rPr>
        <w:t>：支持在机构栏展示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1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在</w:t>
      </w:r>
      <w:r>
        <w:rPr>
          <w:rFonts w:hint="eastAsia" w:ascii="宋体" w:hAnsi="宋体" w:cs="宋体"/>
          <w:color w:val="000000" w:themeColor="text1"/>
          <w:kern w:val="0"/>
          <w:sz w:val="21"/>
          <w:szCs w:val="21"/>
          <w:lang w:bidi="ar"/>
          <w14:textFill>
            <w14:solidFill>
              <w14:schemeClr w14:val="tx1"/>
            </w14:solidFill>
          </w14:textFill>
        </w:rPr>
        <w:t>首页</w:t>
      </w:r>
      <w:r>
        <w:rPr>
          <w:rFonts w:hint="eastAsia" w:ascii="宋体" w:hAnsi="宋体" w:cs="宋体"/>
          <w:color w:val="000000" w:themeColor="text1"/>
          <w:kern w:val="0"/>
          <w:sz w:val="21"/>
          <w:szCs w:val="21"/>
          <w:lang w:eastAsia="zh-Hans" w:bidi="ar"/>
          <w14:textFill>
            <w14:solidFill>
              <w14:schemeClr w14:val="tx1"/>
            </w14:solidFill>
          </w14:textFill>
        </w:rPr>
        <w:t>展示新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提示；支持用户在首页查看消息详情、</w:t>
      </w:r>
      <w:r>
        <w:rPr>
          <w:rFonts w:hint="eastAsia"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eastAsia="zh-Hans" w:bidi="ar"/>
          <w14:textFill>
            <w14:solidFill>
              <w14:schemeClr w14:val="tx1"/>
            </w14:solidFill>
          </w14:textFill>
        </w:rPr>
        <w:t>动态和删除</w:t>
      </w:r>
      <w:r>
        <w:rPr>
          <w:rFonts w:hint="eastAsia" w:ascii="宋体" w:hAnsi="宋体" w:cs="宋体"/>
          <w:color w:val="000000" w:themeColor="text1"/>
          <w:kern w:val="0"/>
          <w:sz w:val="21"/>
          <w:szCs w:val="21"/>
          <w:lang w:bidi="ar"/>
          <w14:textFill>
            <w14:solidFill>
              <w14:schemeClr w14:val="tx1"/>
            </w14:solidFill>
          </w14:textFill>
        </w:rPr>
        <w:t>消息。</w:t>
      </w:r>
    </w:p>
    <w:p>
      <w:pPr>
        <w:numPr>
          <w:ilvl w:val="0"/>
          <w:numId w:val="12"/>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空间广场</w:t>
      </w:r>
      <w:r>
        <w:rPr>
          <w:rFonts w:hint="eastAsia" w:ascii="宋体" w:hAnsi="宋体" w:cs="宋体"/>
          <w:color w:val="000000" w:themeColor="text1"/>
          <w:kern w:val="0"/>
          <w:sz w:val="21"/>
          <w:szCs w:val="21"/>
          <w:lang w:bidi="ar"/>
          <w14:textFill>
            <w14:solidFill>
              <w14:schemeClr w14:val="tx1"/>
            </w14:solidFill>
          </w14:textFill>
        </w:rPr>
        <w:t>：支持在空间</w:t>
      </w:r>
      <w:r>
        <w:rPr>
          <w:rFonts w:hint="eastAsia" w:ascii="宋体" w:hAnsi="宋体" w:cs="宋体"/>
          <w:color w:val="000000" w:themeColor="text1"/>
          <w:kern w:val="0"/>
          <w:sz w:val="21"/>
          <w:szCs w:val="21"/>
          <w:lang w:eastAsia="zh-Hans" w:bidi="ar"/>
          <w14:textFill>
            <w14:solidFill>
              <w14:schemeClr w14:val="tx1"/>
            </w14:solidFill>
          </w14:textFill>
        </w:rPr>
        <w:t>页</w:t>
      </w:r>
      <w:r>
        <w:rPr>
          <w:rFonts w:hint="eastAsia" w:ascii="宋体" w:hAnsi="宋体" w:cs="宋体"/>
          <w:color w:val="000000" w:themeColor="text1"/>
          <w:kern w:val="0"/>
          <w:sz w:val="21"/>
          <w:szCs w:val="21"/>
          <w:lang w:bidi="ar"/>
          <w14:textFill>
            <w14:solidFill>
              <w14:schemeClr w14:val="tx1"/>
            </w14:solidFill>
          </w14:textFill>
        </w:rPr>
        <w:t>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；支持用户</w:t>
      </w:r>
      <w:r>
        <w:rPr>
          <w:rFonts w:hint="eastAsia" w:ascii="宋体" w:hAnsi="宋体" w:cs="宋体"/>
          <w:color w:val="000000" w:themeColor="text1"/>
          <w:kern w:val="0"/>
          <w:sz w:val="21"/>
          <w:szCs w:val="21"/>
          <w:lang w:eastAsia="zh-Hans" w:bidi="ar"/>
          <w14:textFill>
            <w14:solidFill>
              <w14:schemeClr w14:val="tx1"/>
            </w14:solidFill>
          </w14:textFill>
        </w:rPr>
        <w:t>在空间页</w:t>
      </w:r>
      <w:r>
        <w:rPr>
          <w:rFonts w:hint="eastAsia" w:ascii="宋体" w:hAnsi="宋体" w:cs="宋体"/>
          <w:color w:val="000000" w:themeColor="text1"/>
          <w:kern w:val="0"/>
          <w:sz w:val="21"/>
          <w:szCs w:val="21"/>
          <w:lang w:bidi="ar"/>
          <w14:textFill>
            <w14:solidFill>
              <w14:schemeClr w14:val="tx1"/>
            </w14:solidFill>
          </w14:textFill>
        </w:rPr>
        <w:t>查看消息</w:t>
      </w:r>
      <w:r>
        <w:rPr>
          <w:rFonts w:hint="eastAsia" w:ascii="宋体" w:hAnsi="宋体" w:cs="宋体"/>
          <w:color w:val="000000" w:themeColor="text1"/>
          <w:kern w:val="0"/>
          <w:sz w:val="21"/>
          <w:szCs w:val="21"/>
          <w:lang w:eastAsia="zh-Hans" w:bidi="ar"/>
          <w14:textFill>
            <w14:solidFill>
              <w14:schemeClr w14:val="tx1"/>
            </w14:solidFill>
          </w14:textFill>
        </w:rPr>
        <w:t>详情、</w:t>
      </w:r>
      <w:r>
        <w:rPr>
          <w:rFonts w:hint="eastAsia"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eastAsia="zh-Hans" w:bidi="ar"/>
          <w14:textFill>
            <w14:solidFill>
              <w14:schemeClr w14:val="tx1"/>
            </w14:solidFill>
          </w14:textFill>
        </w:rPr>
        <w:t>动态消息和删除</w:t>
      </w:r>
      <w:r>
        <w:rPr>
          <w:rFonts w:hint="eastAsia" w:ascii="宋体" w:hAnsi="宋体" w:cs="宋体"/>
          <w:color w:val="000000" w:themeColor="text1"/>
          <w:kern w:val="0"/>
          <w:sz w:val="21"/>
          <w:szCs w:val="21"/>
          <w:lang w:bidi="ar"/>
          <w14:textFill>
            <w14:solidFill>
              <w14:schemeClr w14:val="tx1"/>
            </w14:solidFill>
          </w14:textFill>
        </w:rPr>
        <w:t>消息。</w:t>
      </w:r>
    </w:p>
    <w:p>
      <w:pPr>
        <w:pStyle w:val="2"/>
        <w:rPr>
          <w:color w:val="000000" w:themeColor="text1"/>
          <w14:textFill>
            <w14:solidFill>
              <w14:schemeClr w14:val="tx1"/>
            </w14:solidFill>
          </w14:textFill>
        </w:rPr>
      </w:pPr>
    </w:p>
    <w:p>
      <w:pPr>
        <w:pStyle w:val="6"/>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Web可视化交互优化</w:t>
      </w:r>
    </w:p>
    <w:p>
      <w:pPr>
        <w:numPr>
          <w:ilvl w:val="0"/>
          <w:numId w:val="13"/>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机构</w:t>
      </w:r>
      <w:r>
        <w:rPr>
          <w:rFonts w:hint="eastAsia" w:ascii="宋体" w:hAnsi="宋体" w:cs="宋体"/>
          <w:color w:val="000000" w:themeColor="text1"/>
          <w:kern w:val="0"/>
          <w:sz w:val="21"/>
          <w:szCs w:val="21"/>
          <w:lang w:bidi="ar"/>
          <w14:textFill>
            <w14:solidFill>
              <w14:schemeClr w14:val="tx1"/>
            </w14:solidFill>
          </w14:textFill>
        </w:rPr>
        <w:t>：支持在机构栏展示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13"/>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lang w:bidi="ar"/>
          <w14:textFill>
            <w14:solidFill>
              <w14:schemeClr w14:val="tx1"/>
            </w14:solidFill>
          </w14:textFill>
        </w:rPr>
        <w:t>应用广场</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在应用页</w:t>
      </w:r>
      <w:r>
        <w:rPr>
          <w:rFonts w:hint="eastAsia" w:ascii="宋体" w:hAnsi="宋体" w:cs="宋体"/>
          <w:color w:val="000000" w:themeColor="text1"/>
          <w:kern w:val="0"/>
          <w:sz w:val="21"/>
          <w:szCs w:val="21"/>
          <w:lang w:bidi="ar"/>
          <w14:textFill>
            <w14:solidFill>
              <w14:schemeClr w14:val="tx1"/>
            </w14:solidFill>
          </w14:textFill>
        </w:rPr>
        <w:t>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支持用户</w:t>
      </w:r>
      <w:r>
        <w:rPr>
          <w:rFonts w:hint="eastAsia" w:ascii="宋体" w:hAnsi="宋体" w:cs="宋体"/>
          <w:color w:val="000000" w:themeColor="text1"/>
          <w:kern w:val="0"/>
          <w:sz w:val="21"/>
          <w:szCs w:val="21"/>
          <w:lang w:eastAsia="zh-Hans" w:bidi="ar"/>
          <w14:textFill>
            <w14:solidFill>
              <w14:schemeClr w14:val="tx1"/>
            </w14:solidFill>
          </w14:textFill>
        </w:rPr>
        <w:t>在应用页</w:t>
      </w:r>
      <w:r>
        <w:rPr>
          <w:rFonts w:hint="eastAsia" w:ascii="宋体" w:hAnsi="宋体" w:cs="宋体"/>
          <w:color w:val="000000" w:themeColor="text1"/>
          <w:kern w:val="0"/>
          <w:sz w:val="21"/>
          <w:szCs w:val="21"/>
          <w:lang w:bidi="ar"/>
          <w14:textFill>
            <w14:solidFill>
              <w14:schemeClr w14:val="tx1"/>
            </w14:solidFill>
          </w14:textFill>
        </w:rPr>
        <w:t>查看消息</w:t>
      </w:r>
      <w:r>
        <w:rPr>
          <w:rFonts w:hint="eastAsia" w:ascii="宋体" w:hAnsi="宋体" w:cs="宋体"/>
          <w:color w:val="000000" w:themeColor="text1"/>
          <w:kern w:val="0"/>
          <w:sz w:val="21"/>
          <w:szCs w:val="21"/>
          <w:lang w:eastAsia="zh-Hans" w:bidi="ar"/>
          <w14:textFill>
            <w14:solidFill>
              <w14:schemeClr w14:val="tx1"/>
            </w14:solidFill>
          </w14:textFill>
        </w:rPr>
        <w:t>详情、新增动态消息和</w:t>
      </w:r>
      <w:r>
        <w:rPr>
          <w:rFonts w:hint="eastAsia" w:ascii="宋体" w:hAnsi="宋体" w:cs="宋体"/>
          <w:color w:val="000000" w:themeColor="text1"/>
          <w:kern w:val="0"/>
          <w:sz w:val="21"/>
          <w:szCs w:val="21"/>
          <w:lang w:bidi="ar"/>
          <w14:textFill>
            <w14:solidFill>
              <w14:schemeClr w14:val="tx1"/>
            </w14:solidFill>
          </w14:textFill>
        </w:rPr>
        <w:t>删除消息。</w:t>
      </w:r>
    </w:p>
    <w:p>
      <w:pPr>
        <w:numPr>
          <w:ilvl w:val="0"/>
          <w:numId w:val="13"/>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空间广场</w:t>
      </w:r>
      <w:r>
        <w:rPr>
          <w:rFonts w:hint="eastAsia" w:ascii="宋体" w:hAnsi="宋体" w:cs="宋体"/>
          <w:color w:val="000000" w:themeColor="text1"/>
          <w:kern w:val="0"/>
          <w:sz w:val="21"/>
          <w:szCs w:val="21"/>
          <w:lang w:bidi="ar"/>
          <w14:textFill>
            <w14:solidFill>
              <w14:schemeClr w14:val="tx1"/>
            </w14:solidFill>
          </w14:textFill>
        </w:rPr>
        <w:t>：支持在空间</w:t>
      </w:r>
      <w:r>
        <w:rPr>
          <w:rFonts w:hint="eastAsia" w:ascii="宋体" w:hAnsi="宋体" w:cs="宋体"/>
          <w:color w:val="000000" w:themeColor="text1"/>
          <w:kern w:val="0"/>
          <w:sz w:val="21"/>
          <w:szCs w:val="21"/>
          <w:lang w:eastAsia="zh-Hans" w:bidi="ar"/>
          <w14:textFill>
            <w14:solidFill>
              <w14:schemeClr w14:val="tx1"/>
            </w14:solidFill>
          </w14:textFill>
        </w:rPr>
        <w:t>页展示新消息提示；支持用户在空间页查看消息详情、新增动态消息和</w:t>
      </w:r>
      <w:r>
        <w:rPr>
          <w:rFonts w:hint="eastAsia" w:ascii="宋体" w:hAnsi="宋体" w:cs="宋体"/>
          <w:color w:val="000000" w:themeColor="text1"/>
          <w:kern w:val="0"/>
          <w:sz w:val="21"/>
          <w:szCs w:val="21"/>
          <w:lang w:bidi="ar"/>
          <w14:textFill>
            <w14:solidFill>
              <w14:schemeClr w14:val="tx1"/>
            </w14:solidFill>
          </w14:textFill>
        </w:rPr>
        <w:t>删除消息。</w:t>
      </w:r>
    </w:p>
    <w:p>
      <w:pPr>
        <w:pStyle w:val="2"/>
        <w:rPr>
          <w:color w:val="000000" w:themeColor="text1"/>
          <w14:textFill>
            <w14:solidFill>
              <w14:schemeClr w14:val="tx1"/>
            </w14:solidFill>
          </w14:textFill>
        </w:rPr>
      </w:pPr>
    </w:p>
    <w:p>
      <w:pPr>
        <w:pStyle w:val="6"/>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H5可视化交互优化</w:t>
      </w:r>
    </w:p>
    <w:p>
      <w:pPr>
        <w:numPr>
          <w:ilvl w:val="0"/>
          <w:numId w:val="1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机构</w:t>
      </w:r>
      <w:r>
        <w:rPr>
          <w:rFonts w:hint="eastAsia" w:ascii="宋体" w:hAnsi="宋体" w:cs="宋体"/>
          <w:color w:val="000000" w:themeColor="text1"/>
          <w:kern w:val="0"/>
          <w:sz w:val="21"/>
          <w:szCs w:val="21"/>
          <w:lang w:bidi="ar"/>
          <w14:textFill>
            <w14:solidFill>
              <w14:schemeClr w14:val="tx1"/>
            </w14:solidFill>
          </w14:textFill>
        </w:rPr>
        <w:t>：支持在机构栏展示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w:t>
      </w:r>
    </w:p>
    <w:p>
      <w:pPr>
        <w:numPr>
          <w:ilvl w:val="0"/>
          <w:numId w:val="1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消息广场</w:t>
      </w:r>
      <w:r>
        <w:rPr>
          <w:rFonts w:hint="eastAsia" w:ascii="宋体" w:hAnsi="宋体" w:cs="宋体"/>
          <w:color w:val="000000" w:themeColor="text1"/>
          <w:kern w:val="0"/>
          <w:sz w:val="21"/>
          <w:szCs w:val="21"/>
          <w:lang w:bidi="ar"/>
          <w14:textFill>
            <w14:solidFill>
              <w14:schemeClr w14:val="tx1"/>
            </w14:solidFill>
          </w14:textFill>
        </w:rPr>
        <w:t>：支持</w:t>
      </w:r>
      <w:r>
        <w:rPr>
          <w:rFonts w:hint="eastAsia" w:ascii="宋体" w:hAnsi="宋体" w:cs="宋体"/>
          <w:color w:val="000000" w:themeColor="text1"/>
          <w:kern w:val="0"/>
          <w:sz w:val="21"/>
          <w:szCs w:val="21"/>
          <w:lang w:eastAsia="zh-Hans" w:bidi="ar"/>
          <w14:textFill>
            <w14:solidFill>
              <w14:schemeClr w14:val="tx1"/>
            </w14:solidFill>
          </w14:textFill>
        </w:rPr>
        <w:t>在</w:t>
      </w:r>
      <w:r>
        <w:rPr>
          <w:rFonts w:hint="eastAsia" w:ascii="宋体" w:hAnsi="宋体" w:cs="宋体"/>
          <w:color w:val="000000" w:themeColor="text1"/>
          <w:kern w:val="0"/>
          <w:sz w:val="21"/>
          <w:szCs w:val="21"/>
          <w:lang w:bidi="ar"/>
          <w14:textFill>
            <w14:solidFill>
              <w14:schemeClr w14:val="tx1"/>
            </w14:solidFill>
          </w14:textFill>
        </w:rPr>
        <w:t>首页</w:t>
      </w:r>
      <w:r>
        <w:rPr>
          <w:rFonts w:hint="eastAsia" w:ascii="宋体" w:hAnsi="宋体" w:cs="宋体"/>
          <w:color w:val="000000" w:themeColor="text1"/>
          <w:kern w:val="0"/>
          <w:sz w:val="21"/>
          <w:szCs w:val="21"/>
          <w:lang w:eastAsia="zh-Hans" w:bidi="ar"/>
          <w14:textFill>
            <w14:solidFill>
              <w14:schemeClr w14:val="tx1"/>
            </w14:solidFill>
          </w14:textFill>
        </w:rPr>
        <w:t>展示新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提示；支持用户在首页查看消息、</w:t>
      </w:r>
      <w:r>
        <w:rPr>
          <w:rFonts w:hint="eastAsia"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eastAsia="zh-Hans" w:bidi="ar"/>
          <w14:textFill>
            <w14:solidFill>
              <w14:schemeClr w14:val="tx1"/>
            </w14:solidFill>
          </w14:textFill>
        </w:rPr>
        <w:t>和删除</w:t>
      </w:r>
      <w:r>
        <w:rPr>
          <w:rFonts w:hint="eastAsia" w:ascii="宋体" w:hAnsi="宋体" w:cs="宋体"/>
          <w:color w:val="000000" w:themeColor="text1"/>
          <w:kern w:val="0"/>
          <w:sz w:val="21"/>
          <w:szCs w:val="21"/>
          <w:lang w:bidi="ar"/>
          <w14:textFill>
            <w14:solidFill>
              <w14:schemeClr w14:val="tx1"/>
            </w14:solidFill>
          </w14:textFill>
        </w:rPr>
        <w:t>消息。</w:t>
      </w:r>
    </w:p>
    <w:p>
      <w:pPr>
        <w:numPr>
          <w:ilvl w:val="0"/>
          <w:numId w:val="14"/>
        </w:numPr>
        <w:autoSpaceDE w:val="0"/>
        <w:spacing w:line="360" w:lineRule="auto"/>
        <w:rPr>
          <w:rFonts w:ascii="宋体" w:hAnsi="宋体" w:cs="宋体"/>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bidi="ar"/>
          <w14:textFill>
            <w14:solidFill>
              <w14:schemeClr w14:val="tx1"/>
            </w14:solidFill>
          </w14:textFill>
        </w:rPr>
        <w:t>空间广场</w:t>
      </w:r>
      <w:r>
        <w:rPr>
          <w:rFonts w:hint="eastAsia" w:ascii="宋体" w:hAnsi="宋体" w:cs="宋体"/>
          <w:color w:val="000000" w:themeColor="text1"/>
          <w:kern w:val="0"/>
          <w:sz w:val="21"/>
          <w:szCs w:val="21"/>
          <w:lang w:bidi="ar"/>
          <w14:textFill>
            <w14:solidFill>
              <w14:schemeClr w14:val="tx1"/>
            </w14:solidFill>
          </w14:textFill>
        </w:rPr>
        <w:t>：支持在空间</w:t>
      </w:r>
      <w:r>
        <w:rPr>
          <w:rFonts w:hint="eastAsia" w:ascii="宋体" w:hAnsi="宋体" w:cs="宋体"/>
          <w:color w:val="000000" w:themeColor="text1"/>
          <w:kern w:val="0"/>
          <w:sz w:val="21"/>
          <w:szCs w:val="21"/>
          <w:lang w:eastAsia="zh-Hans" w:bidi="ar"/>
          <w14:textFill>
            <w14:solidFill>
              <w14:schemeClr w14:val="tx1"/>
            </w14:solidFill>
          </w14:textFill>
        </w:rPr>
        <w:t>页</w:t>
      </w:r>
      <w:r>
        <w:rPr>
          <w:rFonts w:hint="eastAsia" w:ascii="宋体" w:hAnsi="宋体" w:cs="宋体"/>
          <w:color w:val="000000" w:themeColor="text1"/>
          <w:kern w:val="0"/>
          <w:sz w:val="21"/>
          <w:szCs w:val="21"/>
          <w:lang w:bidi="ar"/>
          <w14:textFill>
            <w14:solidFill>
              <w14:schemeClr w14:val="tx1"/>
            </w14:solidFill>
          </w14:textFill>
        </w:rPr>
        <w:t>展示</w:t>
      </w:r>
      <w:r>
        <w:rPr>
          <w:rFonts w:hint="eastAsia" w:ascii="宋体" w:hAnsi="宋体" w:cs="宋体"/>
          <w:color w:val="000000" w:themeColor="text1"/>
          <w:kern w:val="0"/>
          <w:sz w:val="21"/>
          <w:szCs w:val="21"/>
          <w:lang w:eastAsia="zh-Hans" w:bidi="ar"/>
          <w14:textFill>
            <w14:solidFill>
              <w14:schemeClr w14:val="tx1"/>
            </w14:solidFill>
          </w14:textFill>
        </w:rPr>
        <w:t>新</w:t>
      </w:r>
      <w:r>
        <w:rPr>
          <w:rFonts w:hint="eastAsia" w:ascii="宋体" w:hAnsi="宋体" w:cs="宋体"/>
          <w:color w:val="000000" w:themeColor="text1"/>
          <w:kern w:val="0"/>
          <w:sz w:val="21"/>
          <w:szCs w:val="21"/>
          <w:lang w:bidi="ar"/>
          <w14:textFill>
            <w14:solidFill>
              <w14:schemeClr w14:val="tx1"/>
            </w14:solidFill>
          </w14:textFill>
        </w:rPr>
        <w:t>消息</w:t>
      </w:r>
      <w:r>
        <w:rPr>
          <w:rFonts w:hint="eastAsia" w:ascii="宋体" w:hAnsi="宋体" w:cs="宋体"/>
          <w:color w:val="000000" w:themeColor="text1"/>
          <w:kern w:val="0"/>
          <w:sz w:val="21"/>
          <w:szCs w:val="21"/>
          <w:lang w:eastAsia="zh-Hans" w:bidi="ar"/>
          <w14:textFill>
            <w14:solidFill>
              <w14:schemeClr w14:val="tx1"/>
            </w14:solidFill>
          </w14:textFill>
        </w:rPr>
        <w:t>提示</w:t>
      </w:r>
      <w:r>
        <w:rPr>
          <w:rFonts w:hint="eastAsia" w:ascii="宋体" w:hAnsi="宋体" w:cs="宋体"/>
          <w:color w:val="000000" w:themeColor="text1"/>
          <w:kern w:val="0"/>
          <w:sz w:val="21"/>
          <w:szCs w:val="21"/>
          <w:lang w:bidi="ar"/>
          <w14:textFill>
            <w14:solidFill>
              <w14:schemeClr w14:val="tx1"/>
            </w14:solidFill>
          </w14:textFill>
        </w:rPr>
        <w:t>；支持用户</w:t>
      </w:r>
      <w:r>
        <w:rPr>
          <w:rFonts w:hint="eastAsia" w:ascii="宋体" w:hAnsi="宋体" w:cs="宋体"/>
          <w:color w:val="000000" w:themeColor="text1"/>
          <w:kern w:val="0"/>
          <w:sz w:val="21"/>
          <w:szCs w:val="21"/>
          <w:lang w:eastAsia="zh-Hans" w:bidi="ar"/>
          <w14:textFill>
            <w14:solidFill>
              <w14:schemeClr w14:val="tx1"/>
            </w14:solidFill>
          </w14:textFill>
        </w:rPr>
        <w:t>在空间页</w:t>
      </w:r>
      <w:r>
        <w:rPr>
          <w:rFonts w:hint="eastAsia" w:ascii="宋体" w:hAnsi="宋体" w:cs="宋体"/>
          <w:color w:val="000000" w:themeColor="text1"/>
          <w:kern w:val="0"/>
          <w:sz w:val="21"/>
          <w:szCs w:val="21"/>
          <w:lang w:bidi="ar"/>
          <w14:textFill>
            <w14:solidFill>
              <w14:schemeClr w14:val="tx1"/>
            </w14:solidFill>
          </w14:textFill>
        </w:rPr>
        <w:t>查看消息</w:t>
      </w:r>
      <w:r>
        <w:rPr>
          <w:rFonts w:hint="eastAsia" w:ascii="宋体" w:hAnsi="宋体" w:cs="宋体"/>
          <w:color w:val="000000" w:themeColor="text1"/>
          <w:kern w:val="0"/>
          <w:sz w:val="21"/>
          <w:szCs w:val="21"/>
          <w:lang w:eastAsia="zh-Hans" w:bidi="ar"/>
          <w14:textFill>
            <w14:solidFill>
              <w14:schemeClr w14:val="tx1"/>
            </w14:solidFill>
          </w14:textFill>
        </w:rPr>
        <w:t>详情、</w:t>
      </w:r>
      <w:r>
        <w:rPr>
          <w:rFonts w:hint="eastAsia" w:ascii="宋体" w:hAnsi="宋体" w:cs="宋体"/>
          <w:color w:val="000000" w:themeColor="text1"/>
          <w:kern w:val="0"/>
          <w:sz w:val="21"/>
          <w:szCs w:val="21"/>
          <w:lang w:bidi="ar"/>
          <w14:textFill>
            <w14:solidFill>
              <w14:schemeClr w14:val="tx1"/>
            </w14:solidFill>
          </w14:textFill>
        </w:rPr>
        <w:t>新增</w:t>
      </w:r>
      <w:r>
        <w:rPr>
          <w:rFonts w:hint="eastAsia" w:ascii="宋体" w:hAnsi="宋体" w:cs="宋体"/>
          <w:color w:val="000000" w:themeColor="text1"/>
          <w:kern w:val="0"/>
          <w:sz w:val="21"/>
          <w:szCs w:val="21"/>
          <w:lang w:eastAsia="zh-Hans" w:bidi="ar"/>
          <w14:textFill>
            <w14:solidFill>
              <w14:schemeClr w14:val="tx1"/>
            </w14:solidFill>
          </w14:textFill>
        </w:rPr>
        <w:t>动态消息和删除</w:t>
      </w:r>
      <w:r>
        <w:rPr>
          <w:rFonts w:hint="eastAsia" w:ascii="宋体" w:hAnsi="宋体" w:cs="宋体"/>
          <w:color w:val="000000" w:themeColor="text1"/>
          <w:kern w:val="0"/>
          <w:sz w:val="21"/>
          <w:szCs w:val="21"/>
          <w:lang w:bidi="ar"/>
          <w14:textFill>
            <w14:solidFill>
              <w14:schemeClr w14:val="tx1"/>
            </w14:solidFill>
          </w14:textFill>
        </w:rPr>
        <w:t>消息。</w:t>
      </w:r>
    </w:p>
    <w:p>
      <w:pPr>
        <w:pStyle w:val="2"/>
        <w:rPr>
          <w:color w:val="000000" w:themeColor="text1"/>
          <w14:textFill>
            <w14:solidFill>
              <w14:schemeClr w14:val="tx1"/>
            </w14:solidFill>
          </w14:textFill>
        </w:rPr>
      </w:pPr>
    </w:p>
    <w:p>
      <w:pPr>
        <w:pStyle w:val="5"/>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应用优化</w:t>
      </w: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公文优化</w:t>
      </w:r>
    </w:p>
    <w:p>
      <w:pPr>
        <w:numPr>
          <w:ilvl w:val="0"/>
          <w:numId w:val="15"/>
        </w:numPr>
        <w:spacing w:line="360" w:lineRule="auto"/>
        <w:rPr>
          <w:sz w:val="21"/>
          <w:szCs w:val="21"/>
          <w:lang w:eastAsia="zh-Hans"/>
        </w:rPr>
      </w:pPr>
      <w:r>
        <w:rPr>
          <w:rFonts w:hint="eastAsia" w:ascii="宋体" w:hAnsi="宋体" w:cs="宋体"/>
          <w:color w:val="000000" w:themeColor="text1"/>
          <w:sz w:val="21"/>
          <w:szCs w:val="21"/>
          <w14:textFill>
            <w14:solidFill>
              <w14:schemeClr w14:val="tx1"/>
            </w14:solidFill>
          </w14:textFill>
        </w:rPr>
        <w:t xml:space="preserve">  </w:t>
      </w:r>
      <w:r>
        <w:rPr>
          <w:rFonts w:hint="eastAsia" w:ascii="宋体" w:hAnsi="宋体" w:cs="宋体"/>
          <w:b/>
          <w:bCs/>
          <w:color w:val="000000" w:themeColor="text1"/>
          <w:sz w:val="21"/>
          <w:szCs w:val="21"/>
          <w14:textFill>
            <w14:solidFill>
              <w14:schemeClr w14:val="tx1"/>
            </w14:solidFill>
          </w14:textFill>
        </w:rPr>
        <w:t>公文新建优化：</w:t>
      </w:r>
      <w:r>
        <w:rPr>
          <w:rFonts w:hint="eastAsia"/>
          <w:sz w:val="21"/>
          <w:szCs w:val="21"/>
          <w:lang w:eastAsia="zh-Hans"/>
        </w:rPr>
        <w:t>新建支持给公文自动编号</w:t>
      </w:r>
      <w:r>
        <w:rPr>
          <w:rFonts w:hint="eastAsia"/>
          <w:sz w:val="21"/>
          <w:szCs w:val="21"/>
        </w:rPr>
        <w:t>，</w:t>
      </w:r>
      <w:r>
        <w:rPr>
          <w:rFonts w:hint="eastAsia"/>
          <w:sz w:val="21"/>
          <w:szCs w:val="21"/>
          <w:lang w:eastAsia="zh-Hans"/>
        </w:rPr>
        <w:t>支持选择派发范围</w:t>
      </w:r>
      <w:r>
        <w:rPr>
          <w:sz w:val="21"/>
          <w:szCs w:val="21"/>
          <w:lang w:eastAsia="zh-Hans"/>
        </w:rPr>
        <w:t>，</w:t>
      </w:r>
      <w:r>
        <w:rPr>
          <w:rFonts w:hint="eastAsia"/>
          <w:sz w:val="21"/>
          <w:szCs w:val="21"/>
          <w:lang w:eastAsia="zh-Hans"/>
        </w:rPr>
        <w:t>选取指定发送人员和范</w:t>
      </w:r>
      <w:r>
        <w:rPr>
          <w:rFonts w:hint="eastAsia"/>
          <w:sz w:val="21"/>
          <w:szCs w:val="21"/>
        </w:rPr>
        <w:tab/>
      </w:r>
      <w:r>
        <w:rPr>
          <w:rFonts w:hint="eastAsia"/>
          <w:sz w:val="21"/>
          <w:szCs w:val="21"/>
          <w:lang w:eastAsia="zh-Hans"/>
        </w:rPr>
        <w:t>围</w:t>
      </w:r>
      <w:r>
        <w:rPr>
          <w:rFonts w:hint="eastAsia"/>
          <w:sz w:val="21"/>
          <w:szCs w:val="21"/>
        </w:rPr>
        <w:t>，</w:t>
      </w:r>
      <w:r>
        <w:rPr>
          <w:rFonts w:hint="eastAsia"/>
          <w:sz w:val="21"/>
          <w:szCs w:val="21"/>
          <w:lang w:eastAsia="zh-Hans"/>
        </w:rPr>
        <w:t>支持上传</w:t>
      </w:r>
      <w:r>
        <w:rPr>
          <w:rFonts w:hint="eastAsia"/>
          <w:sz w:val="21"/>
          <w:szCs w:val="21"/>
        </w:rPr>
        <w:t>PDF、WORD等多种格式</w:t>
      </w:r>
      <w:r>
        <w:rPr>
          <w:rFonts w:hint="eastAsia"/>
          <w:sz w:val="21"/>
          <w:szCs w:val="21"/>
          <w:lang w:eastAsia="zh-Hans"/>
        </w:rPr>
        <w:t>的</w:t>
      </w:r>
      <w:r>
        <w:rPr>
          <w:rFonts w:hint="eastAsia"/>
          <w:sz w:val="21"/>
          <w:szCs w:val="21"/>
        </w:rPr>
        <w:t>文件，</w:t>
      </w:r>
      <w:r>
        <w:rPr>
          <w:rFonts w:hint="eastAsia"/>
          <w:sz w:val="21"/>
          <w:szCs w:val="21"/>
          <w:lang w:eastAsia="zh-Hans"/>
        </w:rPr>
        <w:t>支持设置多级审批</w:t>
      </w:r>
    </w:p>
    <w:p>
      <w:pPr>
        <w:pStyle w:val="2"/>
        <w:numPr>
          <w:ilvl w:val="0"/>
          <w:numId w:val="15"/>
        </w:numPr>
        <w:spacing w:line="360" w:lineRule="auto"/>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 xml:space="preserve"> 公文展示优化：</w:t>
      </w:r>
      <w:r>
        <w:rPr>
          <w:rFonts w:hint="eastAsia" w:ascii="宋体" w:hAnsi="宋体" w:cs="宋体"/>
          <w:color w:val="000000" w:themeColor="text1"/>
          <w:sz w:val="21"/>
          <w:szCs w:val="21"/>
          <w14:textFill>
            <w14:solidFill>
              <w14:schemeClr w14:val="tx1"/>
            </w14:solidFill>
          </w14:textFill>
        </w:rPr>
        <w:t>展示公文编号，由上级阅读确认后，再送达下级人员，支持已阅人员查</w:t>
      </w:r>
      <w:r>
        <w:rPr>
          <w:rFonts w:hint="eastAsia" w:ascii="宋体" w:hAnsi="宋体" w:cs="宋体"/>
          <w:color w:val="000000" w:themeColor="text1"/>
          <w:sz w:val="21"/>
          <w:szCs w:val="21"/>
          <w14:textFill>
            <w14:solidFill>
              <w14:schemeClr w14:val="tx1"/>
            </w14:solidFill>
          </w14:textFill>
        </w:rPr>
        <w:tab/>
      </w:r>
      <w:r>
        <w:rPr>
          <w:rFonts w:hint="eastAsia" w:ascii="宋体" w:hAnsi="宋体" w:cs="宋体"/>
          <w:color w:val="000000" w:themeColor="text1"/>
          <w:sz w:val="21"/>
          <w:szCs w:val="21"/>
          <w14:textFill>
            <w14:solidFill>
              <w14:schemeClr w14:val="tx1"/>
            </w14:solidFill>
          </w14:textFill>
        </w:rPr>
        <w:t>看和统计，公文处理单UI视觉优化</w:t>
      </w:r>
    </w:p>
    <w:p>
      <w:pPr>
        <w:numPr>
          <w:ilvl w:val="0"/>
          <w:numId w:val="15"/>
        </w:numPr>
        <w:spacing w:line="360" w:lineRule="auto"/>
        <w:rPr>
          <w:sz w:val="21"/>
          <w:szCs w:val="21"/>
        </w:rPr>
      </w:pPr>
      <w:r>
        <w:rPr>
          <w:rFonts w:hint="eastAsia" w:ascii="宋体" w:hAnsi="宋体" w:cs="宋体"/>
          <w:b/>
          <w:bCs/>
          <w:color w:val="000000" w:themeColor="text1"/>
          <w:sz w:val="21"/>
          <w:szCs w:val="21"/>
          <w14:textFill>
            <w14:solidFill>
              <w14:schemeClr w14:val="tx1"/>
            </w14:solidFill>
          </w14:textFill>
        </w:rPr>
        <w:t xml:space="preserve"> 应用设置优化：</w:t>
      </w:r>
      <w:r>
        <w:rPr>
          <w:rFonts w:hint="eastAsia"/>
          <w:sz w:val="21"/>
          <w:szCs w:val="21"/>
        </w:rPr>
        <w:t>支持设置公文自动编号规则，支持设置默认审批流程。</w:t>
      </w:r>
    </w:p>
    <w:p>
      <w:pPr>
        <w:pStyle w:val="2"/>
        <w:spacing w:line="360" w:lineRule="auto"/>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审批优化</w:t>
      </w:r>
    </w:p>
    <w:p>
      <w:pPr>
        <w:numPr>
          <w:ilvl w:val="0"/>
          <w:numId w:val="16"/>
        </w:numPr>
        <w:spacing w:line="360" w:lineRule="auto"/>
      </w:pPr>
      <w:r>
        <w:rPr>
          <w:rFonts w:hint="eastAsia" w:ascii="宋体" w:hAnsi="宋体" w:cs="宋体"/>
          <w:b/>
          <w:bCs/>
          <w:color w:val="000000" w:themeColor="text1"/>
          <w:sz w:val="21"/>
          <w:szCs w:val="21"/>
          <w14:textFill>
            <w14:solidFill>
              <w14:schemeClr w14:val="tx1"/>
            </w14:solidFill>
          </w14:textFill>
        </w:rPr>
        <w:t xml:space="preserve"> 新建审批优化：</w:t>
      </w:r>
      <w:r>
        <w:rPr>
          <w:rFonts w:hint="eastAsia"/>
          <w:sz w:val="21"/>
          <w:szCs w:val="21"/>
        </w:rPr>
        <w:t>审批流程支持设置多级审批，同一层级审批人可以选择多人审批；审批</w:t>
      </w:r>
      <w:r>
        <w:rPr>
          <w:rFonts w:hint="eastAsia"/>
          <w:sz w:val="21"/>
          <w:szCs w:val="21"/>
        </w:rPr>
        <w:tab/>
      </w:r>
      <w:r>
        <w:rPr>
          <w:rFonts w:hint="eastAsia"/>
          <w:sz w:val="21"/>
          <w:szCs w:val="21"/>
        </w:rPr>
        <w:t>支持设置会签、或签；审批人员支持选择指定成员，由指定的人员进行审批；审批人员</w:t>
      </w:r>
      <w:r>
        <w:rPr>
          <w:rFonts w:hint="eastAsia"/>
          <w:sz w:val="21"/>
          <w:szCs w:val="21"/>
        </w:rPr>
        <w:tab/>
      </w:r>
      <w:r>
        <w:rPr>
          <w:rFonts w:hint="eastAsia"/>
          <w:sz w:val="21"/>
          <w:szCs w:val="21"/>
        </w:rPr>
        <w:t>支持选择指定职位；由指定的职位进行审批；</w:t>
      </w:r>
    </w:p>
    <w:p>
      <w:pPr>
        <w:pStyle w:val="2"/>
        <w:numPr>
          <w:ilvl w:val="0"/>
          <w:numId w:val="16"/>
        </w:numPr>
        <w:spacing w:line="360" w:lineRule="auto"/>
      </w:pPr>
      <w:r>
        <w:rPr>
          <w:rFonts w:hint="eastAsia" w:ascii="宋体" w:hAnsi="宋体" w:cs="宋体"/>
          <w:b/>
          <w:bCs/>
          <w:color w:val="000000" w:themeColor="text1"/>
          <w:sz w:val="21"/>
          <w:szCs w:val="21"/>
          <w14:textFill>
            <w14:solidFill>
              <w14:schemeClr w14:val="tx1"/>
            </w14:solidFill>
          </w14:textFill>
        </w:rPr>
        <w:t xml:space="preserve"> 审批展示优化：</w:t>
      </w:r>
      <w:r>
        <w:rPr>
          <w:rFonts w:hint="eastAsia"/>
          <w:sz w:val="21"/>
          <w:szCs w:val="21"/>
        </w:rPr>
        <w:t>查看审批流程UI视觉优化；</w:t>
      </w:r>
    </w:p>
    <w:p>
      <w:pPr>
        <w:numPr>
          <w:ilvl w:val="0"/>
          <w:numId w:val="16"/>
        </w:numPr>
        <w:spacing w:line="360" w:lineRule="auto"/>
      </w:pPr>
      <w:r>
        <w:rPr>
          <w:rFonts w:hint="eastAsia" w:ascii="宋体" w:hAnsi="宋体" w:cs="宋体"/>
          <w:b/>
          <w:bCs/>
          <w:color w:val="000000" w:themeColor="text1"/>
          <w:sz w:val="21"/>
          <w:szCs w:val="21"/>
          <w14:textFill>
            <w14:solidFill>
              <w14:schemeClr w14:val="tx1"/>
            </w14:solidFill>
          </w14:textFill>
        </w:rPr>
        <w:t xml:space="preserve"> 应用设置优化：</w:t>
      </w:r>
      <w:r>
        <w:rPr>
          <w:rFonts w:hint="eastAsia"/>
          <w:sz w:val="21"/>
          <w:szCs w:val="21"/>
        </w:rPr>
        <w:t>支持设置默认审批流程；</w:t>
      </w:r>
    </w:p>
    <w:p>
      <w:pPr>
        <w:pStyle w:val="2"/>
        <w:rPr>
          <w:sz w:val="21"/>
          <w:szCs w:val="21"/>
        </w:rPr>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打卡优化</w:t>
      </w:r>
    </w:p>
    <w:p>
      <w:p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1.  打卡设置：</w:t>
      </w:r>
      <w:r>
        <w:rPr>
          <w:rFonts w:hint="eastAsia"/>
          <w:sz w:val="21"/>
          <w:szCs w:val="21"/>
        </w:rPr>
        <w:t>设置打卡对象范围：支持按老师，按学校、年级、班级、任课科目等条件查询数据列表。设置打卡内容可见范围：支持设置打卡内容是否相互可见、仅自己可见、部分可见。设置接收数据推送时间：支持设置数据推送时间。设置起始/结束日期：支持设置打卡起始日期、结束日期。设置打卡频次：支持设置打卡频次，可多选。设置提醒时间：支持用户设置每天对应时间点接收打卡提醒。补卡设置：支持用户设置补卡次数。</w:t>
      </w:r>
    </w:p>
    <w:p>
      <w:pPr>
        <w:spacing w:line="360" w:lineRule="auto"/>
        <w:rPr>
          <w:sz w:val="21"/>
          <w:szCs w:val="21"/>
        </w:rPr>
      </w:pPr>
      <w:r>
        <w:rPr>
          <w:rFonts w:hint="eastAsia" w:ascii="宋体" w:hAnsi="宋体" w:cs="宋体"/>
          <w:b/>
          <w:bCs/>
          <w:color w:val="000000" w:themeColor="text1"/>
          <w:sz w:val="21"/>
          <w:szCs w:val="21"/>
          <w14:textFill>
            <w14:solidFill>
              <w14:schemeClr w14:val="tx1"/>
            </w14:solidFill>
          </w14:textFill>
        </w:rPr>
        <w:t>2.  打卡题目：</w:t>
      </w:r>
      <w:r>
        <w:rPr>
          <w:rFonts w:hint="eastAsia"/>
          <w:sz w:val="21"/>
          <w:szCs w:val="21"/>
        </w:rPr>
        <w:t>体育运动：支持体育运动相关的打卡题目。疫情健康：支持疫情健康相关的打卡题目。自定义题目：支持用户自定义内容打卡题目。</w:t>
      </w:r>
    </w:p>
    <w:p>
      <w:pPr>
        <w:spacing w:line="360" w:lineRule="auto"/>
        <w:rPr>
          <w:sz w:val="21"/>
          <w:szCs w:val="21"/>
        </w:rPr>
      </w:pPr>
      <w:r>
        <w:rPr>
          <w:rFonts w:hint="eastAsia" w:ascii="宋体" w:hAnsi="宋体" w:cs="宋体"/>
          <w:b/>
          <w:bCs/>
          <w:color w:val="000000" w:themeColor="text1"/>
          <w:sz w:val="21"/>
          <w:szCs w:val="21"/>
          <w14:textFill>
            <w14:solidFill>
              <w14:schemeClr w14:val="tx1"/>
            </w14:solidFill>
          </w14:textFill>
        </w:rPr>
        <w:t>3.  打卡奖励：</w:t>
      </w:r>
      <w:r>
        <w:rPr>
          <w:rFonts w:hint="eastAsia"/>
          <w:sz w:val="21"/>
          <w:szCs w:val="21"/>
        </w:rPr>
        <w:t>支持用户通过完成打卡任务获得奖励。</w:t>
      </w:r>
    </w:p>
    <w:p>
      <w:pPr>
        <w:spacing w:line="360" w:lineRule="auto"/>
        <w:rPr>
          <w:sz w:val="21"/>
          <w:szCs w:val="21"/>
        </w:rPr>
      </w:pPr>
      <w:r>
        <w:rPr>
          <w:rFonts w:hint="eastAsia" w:ascii="宋体" w:hAnsi="宋体" w:cs="宋体"/>
          <w:b/>
          <w:bCs/>
          <w:color w:val="000000" w:themeColor="text1"/>
          <w:sz w:val="21"/>
          <w:szCs w:val="21"/>
          <w14:textFill>
            <w14:solidFill>
              <w14:schemeClr w14:val="tx1"/>
            </w14:solidFill>
          </w14:textFill>
        </w:rPr>
        <w:t>4.  打卡记录：</w:t>
      </w:r>
      <w:r>
        <w:rPr>
          <w:rFonts w:hint="eastAsia"/>
          <w:sz w:val="21"/>
          <w:szCs w:val="21"/>
        </w:rPr>
        <w:t>打卡统计：支持汇总该事件各层级打卡人员打卡情况（已打卡、未打卡），支持输入起始和结束日期进行查看 。</w:t>
      </w:r>
    </w:p>
    <w:p>
      <w:pPr>
        <w:spacing w:line="360" w:lineRule="auto"/>
        <w:rPr>
          <w:sz w:val="21"/>
          <w:szCs w:val="21"/>
        </w:rPr>
      </w:pPr>
      <w:r>
        <w:rPr>
          <w:rFonts w:hint="eastAsia" w:ascii="宋体" w:hAnsi="宋体" w:cs="宋体"/>
          <w:b/>
          <w:bCs/>
          <w:color w:val="000000" w:themeColor="text1"/>
          <w:sz w:val="21"/>
          <w:szCs w:val="21"/>
          <w14:textFill>
            <w14:solidFill>
              <w14:schemeClr w14:val="tx1"/>
            </w14:solidFill>
          </w14:textFill>
        </w:rPr>
        <w:t>5.  打卡日历：</w:t>
      </w:r>
      <w:r>
        <w:rPr>
          <w:rFonts w:hint="eastAsia"/>
          <w:sz w:val="21"/>
          <w:szCs w:val="21"/>
        </w:rPr>
        <w:t>支持查看打卡进度日历。进行中：支持用户用户查看进行中的打卡项目。已结束：支持用户查看已结束的打卡项目。</w:t>
      </w:r>
    </w:p>
    <w:p>
      <w:p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6.  家长打卡：</w:t>
      </w:r>
      <w:r>
        <w:rPr>
          <w:rFonts w:hint="eastAsia"/>
          <w:sz w:val="21"/>
          <w:szCs w:val="21"/>
        </w:rPr>
        <w:t>支持家长打卡。</w:t>
      </w:r>
    </w:p>
    <w:p>
      <w:pPr>
        <w:spacing w:line="360" w:lineRule="auto"/>
        <w:rPr>
          <w:sz w:val="21"/>
          <w:szCs w:val="21"/>
        </w:rPr>
      </w:pPr>
      <w:r>
        <w:rPr>
          <w:rFonts w:hint="eastAsia" w:ascii="宋体" w:hAnsi="宋体" w:cs="宋体"/>
          <w:b/>
          <w:bCs/>
          <w:color w:val="000000" w:themeColor="text1"/>
          <w:sz w:val="21"/>
          <w:szCs w:val="21"/>
          <w14:textFill>
            <w14:solidFill>
              <w14:schemeClr w14:val="tx1"/>
            </w14:solidFill>
          </w14:textFill>
        </w:rPr>
        <w:t>7. 打卡报表：</w:t>
      </w:r>
      <w:r>
        <w:rPr>
          <w:rFonts w:hint="eastAsia"/>
          <w:sz w:val="21"/>
          <w:szCs w:val="21"/>
        </w:rPr>
        <w:t>支持打卡统计报表。</w:t>
      </w:r>
    </w:p>
    <w:p>
      <w:pPr>
        <w:pStyle w:val="2"/>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学生考勤优化</w:t>
      </w:r>
    </w:p>
    <w:p>
      <w:pPr>
        <w:numPr>
          <w:ilvl w:val="0"/>
          <w:numId w:val="17"/>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考勤报表：</w:t>
      </w:r>
      <w:r>
        <w:rPr>
          <w:rFonts w:hint="eastAsia" w:ascii="宋体" w:hAnsi="宋体" w:cs="宋体"/>
          <w:sz w:val="21"/>
          <w:szCs w:val="21"/>
        </w:rPr>
        <w:t>支持获取请假部分数据结合出勤记录进行统计、出勤记录、请假记录。</w:t>
      </w:r>
    </w:p>
    <w:p>
      <w:pPr>
        <w:numPr>
          <w:ilvl w:val="0"/>
          <w:numId w:val="17"/>
        </w:num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 xml:space="preserve"> 快捷考勤：</w:t>
      </w:r>
      <w:r>
        <w:rPr>
          <w:rFonts w:hint="eastAsia" w:ascii="宋体" w:hAnsi="宋体" w:cs="宋体"/>
          <w:sz w:val="21"/>
          <w:szCs w:val="21"/>
        </w:rPr>
        <w:t>支持用户在生成本次出勤名单后进行手动快捷出勤点名操作。</w:t>
      </w:r>
    </w:p>
    <w:p>
      <w:pPr>
        <w:numPr>
          <w:ilvl w:val="0"/>
          <w:numId w:val="17"/>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疫情防控：</w:t>
      </w:r>
      <w:r>
        <w:rPr>
          <w:rFonts w:hint="eastAsia" w:ascii="宋体" w:hAnsi="宋体" w:cs="宋体"/>
          <w:sz w:val="21"/>
          <w:szCs w:val="21"/>
        </w:rPr>
        <w:t>支持结合考勤、到校数据，支持区域内疫情防控预警。</w:t>
      </w:r>
    </w:p>
    <w:p>
      <w:pPr>
        <w:numPr>
          <w:ilvl w:val="0"/>
          <w:numId w:val="17"/>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考勤记录查看：</w:t>
      </w:r>
      <w:r>
        <w:rPr>
          <w:rFonts w:hint="eastAsia" w:ascii="宋体" w:hAnsi="宋体" w:cs="宋体"/>
          <w:sz w:val="21"/>
          <w:szCs w:val="21"/>
        </w:rPr>
        <w:t>支持考勤记录中记录各层级人员出勤情况。</w:t>
      </w:r>
    </w:p>
    <w:p>
      <w:pPr>
        <w:numPr>
          <w:ilvl w:val="0"/>
          <w:numId w:val="17"/>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功能设置：</w:t>
      </w:r>
      <w:r>
        <w:rPr>
          <w:rFonts w:hint="eastAsia" w:ascii="宋体" w:hAnsi="宋体" w:cs="宋体"/>
          <w:sz w:val="21"/>
          <w:szCs w:val="21"/>
        </w:rPr>
        <w:t>周期性考勤：支持考勤管理设置此次考勤周期。多时段考勤：支持考勤管理设置指定日期的各时段多次考勤。</w:t>
      </w:r>
    </w:p>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教师考勤优化</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面部识别：</w:t>
      </w:r>
      <w:r>
        <w:rPr>
          <w:rFonts w:hint="eastAsia" w:ascii="宋体" w:hAnsi="宋体" w:cs="宋体"/>
          <w:sz w:val="21"/>
          <w:szCs w:val="21"/>
        </w:rPr>
        <w:t>人脸快速打卡：支持通过人脸快速完成打卡。</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考勤统计：</w:t>
      </w:r>
      <w:r>
        <w:rPr>
          <w:rFonts w:hint="eastAsia" w:ascii="宋体" w:hAnsi="宋体" w:cs="宋体"/>
          <w:sz w:val="21"/>
          <w:szCs w:val="21"/>
        </w:rPr>
        <w:t>请假功能联合统计：支持请假数据、出勤记录进行联合统计。</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汇总考勤：</w:t>
      </w:r>
      <w:r>
        <w:rPr>
          <w:rFonts w:hint="eastAsia" w:ascii="宋体" w:hAnsi="宋体" w:cs="宋体"/>
          <w:sz w:val="21"/>
          <w:szCs w:val="21"/>
        </w:rPr>
        <w:t>支持访问考勤记录、考勤数量统计、教师考勤记录导出。支持多种打卡方式</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手动点名: </w:t>
      </w:r>
      <w:r>
        <w:rPr>
          <w:rFonts w:hint="eastAsia" w:ascii="宋体" w:hAnsi="宋体" w:cs="宋体"/>
          <w:sz w:val="21"/>
          <w:szCs w:val="21"/>
        </w:rPr>
        <w:t>支持用户在生成本次出勤名单后进行点名操作。支持多时段考勤：支持考勤管理设置指定日期的各时段多次考勤。支持设置周期性考勤：支持考勤管理设置此次考勤周期。可</w:t>
      </w:r>
      <w:r>
        <w:rPr>
          <w:rFonts w:hint="eastAsia" w:ascii="宋体" w:hAnsi="宋体" w:cs="宋体"/>
          <w:sz w:val="21"/>
          <w:szCs w:val="21"/>
          <w:lang w:eastAsia="zh-Hans"/>
        </w:rPr>
        <w:t>限制位置考勤</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考勤位置信息：</w:t>
      </w:r>
      <w:r>
        <w:rPr>
          <w:rFonts w:hint="eastAsia" w:ascii="宋体" w:hAnsi="宋体" w:cs="宋体"/>
          <w:sz w:val="21"/>
          <w:szCs w:val="21"/>
        </w:rPr>
        <w:t>支持考勤扫脸时附加考勤位置信息。</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位置范围：</w:t>
      </w:r>
      <w:r>
        <w:rPr>
          <w:rFonts w:hint="eastAsia" w:ascii="宋体" w:hAnsi="宋体" w:cs="宋体"/>
          <w:sz w:val="21"/>
          <w:szCs w:val="21"/>
        </w:rPr>
        <w:t>支持设定位置范围。</w:t>
      </w:r>
    </w:p>
    <w:p>
      <w:pPr>
        <w:numPr>
          <w:ilvl w:val="0"/>
          <w:numId w:val="18"/>
        </w:numPr>
        <w:spacing w:line="360" w:lineRule="auto"/>
        <w:rPr>
          <w:rFonts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 xml:space="preserve"> 考勤wifi选取：</w:t>
      </w:r>
      <w:r>
        <w:rPr>
          <w:rFonts w:hint="eastAsia" w:ascii="宋体" w:hAnsi="宋体" w:cs="宋体"/>
          <w:color w:val="000000" w:themeColor="text1"/>
          <w:sz w:val="21"/>
          <w:szCs w:val="21"/>
          <w14:textFill>
            <w14:solidFill>
              <w14:schemeClr w14:val="tx1"/>
            </w14:solidFill>
          </w14:textFill>
        </w:rPr>
        <w:t>支持wifi范围内考勤。</w:t>
      </w:r>
    </w:p>
    <w:p>
      <w:pPr>
        <w:numPr>
          <w:ilvl w:val="0"/>
          <w:numId w:val="18"/>
        </w:numPr>
        <w:spacing w:line="360" w:lineRule="auto"/>
        <w:rPr>
          <w:rFonts w:ascii="宋体" w:hAnsi="宋体" w:cs="宋体"/>
          <w:sz w:val="21"/>
          <w:szCs w:val="21"/>
        </w:rPr>
      </w:pPr>
      <w:r>
        <w:rPr>
          <w:rFonts w:hint="eastAsia" w:ascii="宋体" w:hAnsi="宋体" w:cs="宋体"/>
          <w:b/>
          <w:bCs/>
          <w:color w:val="000000" w:themeColor="text1"/>
          <w:sz w:val="21"/>
          <w:szCs w:val="21"/>
          <w14:textFill>
            <w14:solidFill>
              <w14:schemeClr w14:val="tx1"/>
            </w14:solidFill>
          </w14:textFill>
        </w:rPr>
        <w:t xml:space="preserve"> 查看考勤扫脸图片：</w:t>
      </w:r>
      <w:r>
        <w:rPr>
          <w:rFonts w:hint="eastAsia" w:ascii="宋体" w:hAnsi="宋体" w:cs="宋体"/>
          <w:sz w:val="21"/>
          <w:szCs w:val="21"/>
        </w:rPr>
        <w:t>支持在考勤详情页面查看考勤扫脸图片。</w:t>
      </w:r>
    </w:p>
    <w:p>
      <w:pPr>
        <w:pStyle w:val="2"/>
      </w:pPr>
    </w:p>
    <w:p>
      <w:pPr>
        <w:pStyle w:val="6"/>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宿舍考勤优化</w:t>
      </w:r>
    </w:p>
    <w:p>
      <w:pPr>
        <w:numPr>
          <w:ilvl w:val="0"/>
          <w:numId w:val="19"/>
        </w:num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考勤自动关联请假状态：</w:t>
      </w:r>
      <w:r>
        <w:rPr>
          <w:rFonts w:hint="eastAsia" w:ascii="宋体" w:hAnsi="宋体" w:cs="宋体"/>
        </w:rPr>
        <w:t>支持病假考勤信息统计，并生成考勤统计表。</w:t>
      </w:r>
    </w:p>
    <w:p>
      <w:pPr>
        <w:numPr>
          <w:ilvl w:val="0"/>
          <w:numId w:val="19"/>
        </w:numPr>
        <w:spacing w:line="360" w:lineRule="auto"/>
        <w:rPr>
          <w:rFonts w:ascii="宋体" w:hAnsi="宋体" w:cs="宋体"/>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 xml:space="preserve"> 考勤逻辑优化：</w:t>
      </w:r>
      <w:r>
        <w:rPr>
          <w:rFonts w:hint="eastAsia" w:ascii="宋体" w:hAnsi="宋体" w:cs="宋体"/>
          <w:color w:val="000000" w:themeColor="text1"/>
          <w:sz w:val="21"/>
          <w:szCs w:val="21"/>
          <w14:textFill>
            <w14:solidFill>
              <w14:schemeClr w14:val="tx1"/>
            </w14:solidFill>
          </w14:textFill>
        </w:rPr>
        <w:t>支持不同年级、班级、宿舍楼、宿舍的考勤规则差异化设置。</w:t>
      </w:r>
    </w:p>
    <w:p>
      <w:pPr>
        <w:numPr>
          <w:ilvl w:val="0"/>
          <w:numId w:val="19"/>
        </w:num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班牌考勤：</w:t>
      </w:r>
      <w:r>
        <w:rPr>
          <w:rFonts w:hint="eastAsia" w:ascii="宋体" w:hAnsi="宋体" w:cs="宋体"/>
        </w:rPr>
        <w:t>联动电子班牌，可设置考勤抓拍，语音播报打卡人及结果，</w:t>
      </w:r>
    </w:p>
    <w:p>
      <w:pPr>
        <w:numPr>
          <w:ilvl w:val="0"/>
          <w:numId w:val="19"/>
        </w:num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考勤汇总：</w:t>
      </w:r>
      <w:r>
        <w:rPr>
          <w:rFonts w:hint="eastAsia" w:ascii="宋体" w:hAnsi="宋体" w:cs="宋体"/>
        </w:rPr>
        <w:t>支持考勤报表数据生成、导出考勤信息、下载宿舍考勤模板文件。</w:t>
      </w:r>
    </w:p>
    <w:p>
      <w:pPr>
        <w:numPr>
          <w:ilvl w:val="0"/>
          <w:numId w:val="19"/>
        </w:numPr>
        <w:spacing w:line="360" w:lineRule="auto"/>
        <w:rPr>
          <w:rFonts w:ascii="宋体" w:hAnsi="宋体" w:cs="宋体"/>
        </w:rPr>
      </w:pPr>
      <w:r>
        <w:rPr>
          <w:rFonts w:hint="eastAsia" w:ascii="宋体" w:hAnsi="宋体" w:cs="宋体"/>
          <w:b/>
          <w:bCs/>
          <w:color w:val="000000" w:themeColor="text1"/>
          <w:sz w:val="21"/>
          <w:szCs w:val="21"/>
          <w14:textFill>
            <w14:solidFill>
              <w14:schemeClr w14:val="tx1"/>
            </w14:solidFill>
          </w14:textFill>
        </w:rPr>
        <w:t>考勤详情：</w:t>
      </w:r>
      <w:r>
        <w:rPr>
          <w:rFonts w:hint="eastAsia" w:ascii="宋体" w:hAnsi="宋体" w:cs="宋体"/>
        </w:rPr>
        <w:t>查看宿舍考勤详情：支持查看考勤列表详情。班牌可查看全寝考勤状况：支持联动电子班牌显示考勤状态。</w:t>
      </w:r>
    </w:p>
    <w:p/>
    <w:p>
      <w:pPr>
        <w:pStyle w:val="4"/>
        <w:rPr>
          <w:rFonts w:ascii="宋体" w:hAnsi="宋体"/>
          <w:color w:val="000000" w:themeColor="text1"/>
          <w:sz w:val="32"/>
          <w:szCs w:val="22"/>
          <w14:textFill>
            <w14:solidFill>
              <w14:schemeClr w14:val="tx1"/>
            </w14:solidFill>
          </w14:textFill>
        </w:rPr>
      </w:pPr>
      <w:r>
        <w:rPr>
          <w:rFonts w:hint="eastAsia" w:ascii="宋体" w:hAnsi="宋体"/>
          <w:color w:val="000000" w:themeColor="text1"/>
          <w:szCs w:val="24"/>
          <w:lang w:val="en-US" w:eastAsia="zh-CN"/>
          <w14:textFill>
            <w14:solidFill>
              <w14:schemeClr w14:val="tx1"/>
            </w14:solidFill>
          </w14:textFill>
        </w:rPr>
        <w:t>系统</w:t>
      </w:r>
      <w:r>
        <w:rPr>
          <w:rFonts w:ascii="宋体" w:hAnsi="宋体"/>
          <w:color w:val="000000" w:themeColor="text1"/>
          <w:szCs w:val="24"/>
          <w:lang w:eastAsia="zh-CN"/>
          <w14:textFill>
            <w14:solidFill>
              <w14:schemeClr w14:val="tx1"/>
            </w14:solidFill>
          </w14:textFill>
        </w:rPr>
        <w:t>性能要求</w:t>
      </w:r>
      <w:r>
        <w:rPr>
          <w:rFonts w:ascii="宋体" w:hAnsi="宋体"/>
          <w:color w:val="000000" w:themeColor="text1"/>
          <w:szCs w:val="24"/>
          <w:lang w:val="en-US" w:eastAsia="zh-CN"/>
          <w14:textFill>
            <w14:solidFill>
              <w14:schemeClr w14:val="tx1"/>
            </w14:solidFill>
          </w14:textFill>
        </w:rPr>
        <w:t xml:space="preserve"> </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前端即时性达标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指标定义：在产品需求标准环境下，用户访问产品页（WEB端、App端、H5端），进入首页、栏目页或者详情页，到页面绘制加载完成的时间。 </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指标标准：达标值3秒，挑战值2秒。</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指标算法：选取同一网页在同一网络环境下打开时延的测试数据100个，求取平均网页打开时延数据。</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评估途径：根据指标定义进行人工抽查及统计。</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申请发送时延</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指标定义：在产品需求标准环境下，从客户端提交申请时间起，到管理员收到提示的时长。</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指标标准：不长于1分钟。</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指标算法：申请发送时延=收到提示时间点-提交申请时间点。</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网页打开成功率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指标定义：在产品需求标准环境下，指定时间完成页面加载的次数，占总访问次数的比例。用户发起页面访问请求，在指定时间内完成页面加载即为网页打开成功。</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指标标准：测试次数不小于100次，网页打开成功率不低于99%。</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指标算法：对每个核心网页，计算网页打开成功率=（网页打开成功次数/总访问次数）×100%，再对核心网页的网页打开成功率值求平均得到。</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后端压力测试达标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指标定义：在产品需求标准环境下，接口平均响应时间、成功率及服务器资源占用情况。 </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指标标准：达标值响应时间2秒、成功率99%、服务器CPU与内存资源消耗均小于80%。挑战值响应时间1秒、成功率100%、服务器CPU与内存资源消耗均小于80%。</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指标算法：在需求规定的并发请求下，统计接口的平均响应时间、成功率、资源消耗。</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评估途径：根据指标定义进行人工抽查及系统统计。</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上传成功率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指标定义：在产品需求标准环境下，统计周期内，文本、图片、视频等上传成功的次数在总上传次数的占比。</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指标标准：测试次数不小于100次，上传成功率不低于95%。</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指标算法：上传成功率=（上传成功次数/上传总次数）×100%。</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客户端登录成功率</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指标定义：在产品需求标准环境下，用户发起客户端登录请求，账号密码正确的前提下，成功登录的次数占比。</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指标标准：测试次数不小于100次，客户端登录成功率不低于99%。</w:t>
      </w:r>
    </w:p>
    <w:p>
      <w:pPr>
        <w:snapToGrid w:val="0"/>
        <w:spacing w:line="360" w:lineRule="auto"/>
        <w:ind w:left="420"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指标算法：客户端登录成功率=登录成功次数/总登录次数×100%。</w:t>
      </w:r>
    </w:p>
    <w:p>
      <w:pPr>
        <w:snapToGrid w:val="0"/>
        <w:spacing w:line="360" w:lineRule="auto"/>
        <w:ind w:left="420" w:firstLine="420" w:firstLineChars="200"/>
        <w:rPr>
          <w:rFonts w:ascii="宋体" w:hAnsi="宋体"/>
          <w:color w:val="000000" w:themeColor="text1"/>
          <w14:textFill>
            <w14:solidFill>
              <w14:schemeClr w14:val="tx1"/>
            </w14:solidFill>
          </w14:textFill>
        </w:rPr>
      </w:pPr>
      <w:r>
        <w:rPr>
          <w:rFonts w:ascii="宋体" w:hAnsi="宋体"/>
          <w:color w:val="000000" w:themeColor="text1"/>
          <w:sz w:val="21"/>
          <w:szCs w:val="21"/>
          <w14:textFill>
            <w14:solidFill>
              <w14:schemeClr w14:val="tx1"/>
            </w14:solidFill>
          </w14:textFill>
        </w:rPr>
        <w:t>评估途径：监控、拨测或众测。</w:t>
      </w:r>
    </w:p>
    <w:p>
      <w:pPr>
        <w:pStyle w:val="4"/>
        <w:rPr>
          <w:rFonts w:ascii="宋体" w:hAnsi="宋体"/>
          <w:color w:val="000000" w:themeColor="text1"/>
          <w:szCs w:val="24"/>
          <w:lang w:eastAsia="zh-CN"/>
          <w14:textFill>
            <w14:solidFill>
              <w14:schemeClr w14:val="tx1"/>
            </w14:solidFill>
          </w14:textFill>
        </w:rPr>
      </w:pPr>
      <w:r>
        <w:rPr>
          <w:rFonts w:ascii="宋体" w:hAnsi="宋体"/>
          <w:color w:val="000000" w:themeColor="text1"/>
          <w:szCs w:val="24"/>
          <w:lang w:eastAsia="zh-CN"/>
          <w14:textFill>
            <w14:solidFill>
              <w14:schemeClr w14:val="tx1"/>
            </w14:solidFill>
          </w14:textFill>
        </w:rPr>
        <w:t>系统安全要求</w:t>
      </w:r>
      <w:r>
        <w:rPr>
          <w:rFonts w:ascii="宋体" w:hAnsi="宋体"/>
          <w:color w:val="000000" w:themeColor="text1"/>
          <w:szCs w:val="24"/>
          <w:lang w:val="en-US" w:eastAsia="zh-CN"/>
          <w14:textFill>
            <w14:solidFill>
              <w14:schemeClr w14:val="tx1"/>
            </w14:solidFill>
          </w14:textFill>
        </w:rPr>
        <w:t xml:space="preserve"> </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hint="eastAsia" w:ascii="宋体" w:hAnsi="宋体"/>
          <w:color w:val="000000" w:themeColor="text1"/>
          <w:sz w:val="21"/>
          <w:szCs w:val="21"/>
          <w:lang w:val="en-GB"/>
          <w14:textFill>
            <w14:solidFill>
              <w14:schemeClr w14:val="tx1"/>
            </w14:solidFill>
          </w14:textFill>
        </w:rPr>
        <w:t>安全要求需满足中国移动安全基线和招标人安全要求。</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网络安全要求</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应按不同应用，划分网络域，各域之间网络访问满足最小策略开放原则。</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所有入网的主机必须经过安全配置，打补丁、改密码、病毒查杀等，确认满足安全运行要求后方能上线。</w:t>
      </w:r>
    </w:p>
    <w:p>
      <w:pPr>
        <w:snapToGrid w:val="0"/>
        <w:spacing w:line="360" w:lineRule="auto"/>
        <w:ind w:firstLine="420" w:firstLineChars="200"/>
        <w:rPr>
          <w:rFonts w:ascii="宋体" w:hAnsi="宋体"/>
          <w:color w:val="000000" w:themeColor="text1"/>
          <w:sz w:val="21"/>
          <w:szCs w:val="21"/>
          <w:lang w:val="en-GB"/>
          <w14:textFill>
            <w14:solidFill>
              <w14:schemeClr w14:val="tx1"/>
            </w14:solidFill>
          </w14:textFill>
        </w:rPr>
      </w:pPr>
      <w:r>
        <w:rPr>
          <w:rFonts w:ascii="宋体" w:hAnsi="宋体"/>
          <w:color w:val="000000" w:themeColor="text1"/>
          <w:sz w:val="21"/>
          <w:szCs w:val="21"/>
          <w:lang w:val="en-GB"/>
          <w14:textFill>
            <w14:solidFill>
              <w14:schemeClr w14:val="tx1"/>
            </w14:solidFill>
          </w14:textFill>
        </w:rPr>
        <w:t>所有入网的主机必须定期进行攻击检测和脆弱性检查，如发现有安全威胁的主机必须整改，未满足安全要求的主机一律强制下网。</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面向公网开放的网络应用，必须配备必要的安全防护设备（如WAF、IDS入侵检测</w:t>
      </w:r>
      <w:r>
        <w:rPr>
          <w:rFonts w:hint="eastAsia" w:ascii="宋体" w:hAnsi="宋体"/>
          <w:color w:val="000000" w:themeColor="text1"/>
          <w:sz w:val="21"/>
          <w:szCs w:val="21"/>
          <w14:textFill>
            <w14:solidFill>
              <w14:schemeClr w14:val="tx1"/>
            </w14:solidFill>
          </w14:textFill>
        </w:rPr>
        <w:t>或</w:t>
      </w:r>
      <w:r>
        <w:rPr>
          <w:rFonts w:ascii="宋体" w:hAnsi="宋体"/>
          <w:color w:val="000000" w:themeColor="text1"/>
          <w:sz w:val="21"/>
          <w:szCs w:val="21"/>
          <w14:textFill>
            <w14:solidFill>
              <w14:schemeClr w14:val="tx1"/>
            </w14:solidFill>
          </w14:textFill>
        </w:rPr>
        <w:t>IPS异常流量分析</w:t>
      </w:r>
      <w:r>
        <w:rPr>
          <w:rFonts w:hint="eastAsia" w:ascii="宋体" w:hAnsi="宋体"/>
          <w:color w:val="000000" w:themeColor="text1"/>
          <w:sz w:val="21"/>
          <w:szCs w:val="21"/>
          <w14:textFill>
            <w14:solidFill>
              <w14:schemeClr w14:val="tx1"/>
            </w14:solidFill>
          </w14:textFill>
        </w:rPr>
        <w:t>等</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pPr>
        <w:pStyle w:val="5"/>
        <w:rPr>
          <w:rFonts w:ascii="宋体" w:hAnsi="宋体" w:eastAsia="宋体"/>
          <w:color w:val="000000" w:themeColor="text1"/>
          <w:lang w:val="en-GB"/>
          <w14:textFill>
            <w14:solidFill>
              <w14:schemeClr w14:val="tx1"/>
            </w14:solidFill>
          </w14:textFill>
        </w:rPr>
      </w:pPr>
      <w:r>
        <w:rPr>
          <w:rFonts w:ascii="宋体" w:hAnsi="宋体" w:eastAsia="宋体"/>
          <w:color w:val="000000" w:themeColor="text1"/>
          <w:lang w:val="en-GB"/>
          <w14:textFill>
            <w14:solidFill>
              <w14:schemeClr w14:val="tx1"/>
            </w14:solidFill>
          </w14:textFill>
        </w:rPr>
        <w:t>系统安全要求</w:t>
      </w:r>
    </w:p>
    <w:p>
      <w:pPr>
        <w:pStyle w:val="19"/>
        <w:numPr>
          <w:ilvl w:val="0"/>
          <w:numId w:val="20"/>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数据存储应具备安全性。敏感数据存储不可明文存储，必须加密存储，防止泄密。</w:t>
      </w:r>
    </w:p>
    <w:p>
      <w:pPr>
        <w:pStyle w:val="19"/>
        <w:numPr>
          <w:ilvl w:val="0"/>
          <w:numId w:val="20"/>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数据传输应具备安全性。系统内数据接口、系统间数据接口必须进行内容加密传输，确保传输过程的数据安全。 </w:t>
      </w:r>
    </w:p>
    <w:p>
      <w:pPr>
        <w:pStyle w:val="19"/>
        <w:numPr>
          <w:ilvl w:val="0"/>
          <w:numId w:val="20"/>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系统支持具备完善的数据备份机制，能够提供自动的全量或增量备份方式，必须确保备份数据的完整性和准确性。备份时间不高于3小时，备份时不能影响系统的正常使用。</w:t>
      </w:r>
    </w:p>
    <w:p>
      <w:pPr>
        <w:pStyle w:val="19"/>
        <w:numPr>
          <w:ilvl w:val="0"/>
          <w:numId w:val="20"/>
        </w:numPr>
        <w:snapToGrid w:val="0"/>
        <w:spacing w:line="360" w:lineRule="auto"/>
        <w:ind w:left="420" w:firstLine="42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应对系统的每一个操作功能设置独立权限，并建立严格、完善的密码管理，确保系统软件和应用软件操作的安全。系统应具有操作日志，记录所有受控操作发生的时间、对象、操作员、操作参数、操作机器IP地址等信息。</w:t>
      </w:r>
    </w:p>
    <w:p>
      <w:pPr>
        <w:pStyle w:val="5"/>
        <w:rPr>
          <w:rFonts w:ascii="宋体" w:hAnsi="宋体" w:eastAsia="宋体"/>
          <w:color w:val="000000" w:themeColor="text1"/>
          <w:sz w:val="21"/>
          <w:szCs w:val="21"/>
          <w:lang w:val="en-GB"/>
          <w14:textFill>
            <w14:solidFill>
              <w14:schemeClr w14:val="tx1"/>
            </w14:solidFill>
          </w14:textFill>
        </w:rPr>
      </w:pPr>
      <w:r>
        <w:rPr>
          <w:rFonts w:ascii="宋体" w:hAnsi="宋体" w:eastAsia="宋体"/>
          <w:color w:val="000000" w:themeColor="text1"/>
          <w:sz w:val="21"/>
          <w:szCs w:val="21"/>
          <w:lang w:val="en-GB"/>
          <w14:textFill>
            <w14:solidFill>
              <w14:schemeClr w14:val="tx1"/>
            </w14:solidFill>
          </w14:textFill>
        </w:rPr>
        <w:t>应用安全要求</w:t>
      </w:r>
      <w:r>
        <w:rPr>
          <w:rFonts w:ascii="宋体" w:hAnsi="宋体" w:eastAsia="宋体"/>
          <w:color w:val="000000" w:themeColor="text1"/>
          <w:sz w:val="21"/>
          <w:szCs w:val="21"/>
          <w14:textFill>
            <w14:solidFill>
              <w14:schemeClr w14:val="tx1"/>
            </w14:solidFill>
          </w14:textFill>
        </w:rPr>
        <w:t xml:space="preserve"> </w:t>
      </w:r>
    </w:p>
    <w:p>
      <w:pPr>
        <w:pStyle w:val="19"/>
        <w:numPr>
          <w:ilvl w:val="0"/>
          <w:numId w:val="21"/>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换手机安全</w:t>
      </w:r>
      <w:r>
        <w:rPr>
          <w:rFonts w:hint="eastAsia" w:ascii="宋体" w:hAnsi="宋体"/>
          <w:color w:val="000000" w:themeColor="text1"/>
          <w:sz w:val="21"/>
          <w:szCs w:val="21"/>
          <w14:textFill>
            <w14:solidFill>
              <w14:schemeClr w14:val="tx1"/>
            </w14:solidFill>
          </w14:textFill>
        </w:rPr>
        <w:t>提醒</w:t>
      </w:r>
      <w:r>
        <w:rPr>
          <w:rFonts w:ascii="宋体" w:hAnsi="宋体"/>
          <w:color w:val="000000" w:themeColor="text1"/>
          <w:sz w:val="21"/>
          <w:szCs w:val="21"/>
          <w14:textFill>
            <w14:solidFill>
              <w14:schemeClr w14:val="tx1"/>
            </w14:solidFill>
          </w14:textFill>
        </w:rPr>
        <w:t>：更换手机后登录APP，</w:t>
      </w:r>
      <w:r>
        <w:rPr>
          <w:rFonts w:hint="eastAsia" w:ascii="宋体" w:hAnsi="宋体"/>
          <w:color w:val="000000" w:themeColor="text1"/>
          <w:sz w:val="21"/>
          <w:szCs w:val="21"/>
          <w14:textFill>
            <w14:solidFill>
              <w14:schemeClr w14:val="tx1"/>
            </w14:solidFill>
          </w14:textFill>
        </w:rPr>
        <w:t>需要有异地登录提醒</w:t>
      </w:r>
      <w:r>
        <w:rPr>
          <w:rFonts w:ascii="宋体" w:hAnsi="宋体"/>
          <w:color w:val="000000" w:themeColor="text1"/>
          <w:sz w:val="21"/>
          <w:szCs w:val="21"/>
          <w14:textFill>
            <w14:solidFill>
              <w14:schemeClr w14:val="tx1"/>
            </w14:solidFill>
          </w14:textFill>
        </w:rPr>
        <w:t>。</w:t>
      </w:r>
    </w:p>
    <w:p>
      <w:pPr>
        <w:pStyle w:val="19"/>
        <w:numPr>
          <w:ilvl w:val="0"/>
          <w:numId w:val="21"/>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在线升级功能需实现在升级过程校验升级包的完整性。</w:t>
      </w:r>
    </w:p>
    <w:p>
      <w:pPr>
        <w:pStyle w:val="19"/>
        <w:numPr>
          <w:ilvl w:val="0"/>
          <w:numId w:val="21"/>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登录完成后的会话管理阶段的所有请求都需要对用户的合法身份进行鉴别（如token方式）。</w:t>
      </w:r>
    </w:p>
    <w:p>
      <w:pPr>
        <w:pStyle w:val="19"/>
        <w:numPr>
          <w:ilvl w:val="0"/>
          <w:numId w:val="21"/>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留痕：提供用户行为审计功能，记录用户操作的全部步骤、输入数据、输出数据、登录及退出时间、IP 地址、修改设置等信息，且用户操作行为记录不可删除或更改。在出现异常操作行为时可进行溯源，在事后保证行为可查证。</w:t>
      </w:r>
    </w:p>
    <w:p>
      <w:pPr>
        <w:pStyle w:val="19"/>
        <w:numPr>
          <w:ilvl w:val="0"/>
          <w:numId w:val="21"/>
        </w:numPr>
        <w:snapToGrid w:val="0"/>
        <w:spacing w:line="360" w:lineRule="auto"/>
        <w:ind w:left="420" w:firstLine="425" w:firstLineChars="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上线前需对源代码进行静态扫描，对问题进行审计和处理。部署到正式环境后，需经安全评估，包括漏洞扫描、渗透测试等，中高危问题修复后，才能对普通用户开放。</w:t>
      </w:r>
    </w:p>
    <w:p>
      <w:pPr>
        <w:pStyle w:val="4"/>
        <w:rPr>
          <w:color w:val="000000" w:themeColor="text1"/>
          <w14:textFill>
            <w14:solidFill>
              <w14:schemeClr w14:val="tx1"/>
            </w14:solidFill>
          </w14:textFill>
        </w:rPr>
      </w:pPr>
      <w:bookmarkStart w:id="3" w:name="_Toc295225971"/>
      <w:r>
        <w:rPr>
          <w:rFonts w:hint="eastAsia"/>
          <w:color w:val="000000" w:themeColor="text1"/>
          <w14:textFill>
            <w14:solidFill>
              <w14:schemeClr w14:val="tx1"/>
            </w14:solidFill>
          </w14:textFill>
        </w:rPr>
        <w:t>维护服务要求</w:t>
      </w:r>
      <w:bookmarkEnd w:id="3"/>
    </w:p>
    <w:p>
      <w:pPr>
        <w:pStyle w:val="5"/>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保修期</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合同签订后，投标人须提供系统维保服务，维保期为终验完成后1年</w:t>
      </w:r>
      <w:r>
        <w:rPr>
          <w:rFonts w:ascii="宋体" w:hAnsi="宋体"/>
          <w:color w:val="000000" w:themeColor="text1"/>
          <w:sz w:val="21"/>
          <w:szCs w:val="21"/>
          <w14:textFill>
            <w14:solidFill>
              <w14:schemeClr w14:val="tx1"/>
            </w14:solidFill>
          </w14:textFill>
        </w:rPr>
        <w:t>。</w:t>
      </w:r>
    </w:p>
    <w:p>
      <w:pPr>
        <w:pStyle w:val="5"/>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维护内容</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维保内容至少应包括：</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应用软件版本升级、打补丁、调测Bug、性能调优等。</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热线电话支持，主责工程师要保证7*24小时手机服务。</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系统档案管理，整理归档系统相关信息，并及时更新。</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定期服务例会，阶段性总结与考核，确定下阶段服务计划以及重大问题探讨。</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现场支持，维护和排障过程技术指导。</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系统安全评估分析，规范化操作，强化安全措施。</w:t>
      </w:r>
    </w:p>
    <w:p>
      <w:pPr>
        <w:numPr>
          <w:ilvl w:val="0"/>
          <w:numId w:val="22"/>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系统优化服务，评估系统性能，系统优化调整。</w:t>
      </w:r>
    </w:p>
    <w:p>
      <w:pPr>
        <w:numPr>
          <w:ilvl w:val="0"/>
          <w:numId w:val="22"/>
        </w:numPr>
        <w:snapToGrid w:val="0"/>
        <w:spacing w:line="360" w:lineRule="auto"/>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配置调整服务，包括逻辑卷、表空间、备份策略等的调整。</w:t>
      </w:r>
    </w:p>
    <w:p>
      <w:pPr>
        <w:pStyle w:val="5"/>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维护要求</w:t>
      </w:r>
    </w:p>
    <w:p>
      <w:pPr>
        <w:numPr>
          <w:ilvl w:val="0"/>
          <w:numId w:val="23"/>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需按照招标人监控管理要求持续改造监控指标，由于指标缺失导致系统维护性降低的损失由投标人承担。</w:t>
      </w:r>
    </w:p>
    <w:p>
      <w:pPr>
        <w:numPr>
          <w:ilvl w:val="0"/>
          <w:numId w:val="23"/>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需按照招标人要求提供产品健康检查工具、故障诊断和恢复工具。</w:t>
      </w:r>
    </w:p>
    <w:p>
      <w:pPr>
        <w:numPr>
          <w:ilvl w:val="0"/>
          <w:numId w:val="23"/>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投标人应保证不同时期所提供的同类软件互相兼容。</w:t>
      </w:r>
    </w:p>
    <w:p>
      <w:pPr>
        <w:numPr>
          <w:ilvl w:val="0"/>
          <w:numId w:val="23"/>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在系统硬件扩容及软件升级时，投标人应派技术人员到现场配合、指导。</w:t>
      </w:r>
    </w:p>
    <w:p>
      <w:pPr>
        <w:numPr>
          <w:ilvl w:val="0"/>
          <w:numId w:val="23"/>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如果系统发生故障，投标人要调查故障原因并修复直至满足最终验收指标和性能的要求，或者更换整个或部分有缺陷的软件。影响客户感知的故障，1小时内响应，24小时内回复正常；影响客户感知的故障，30分钟内响应，8小时内恢复。</w:t>
      </w:r>
    </w:p>
    <w:p>
      <w:pPr>
        <w:numPr>
          <w:ilvl w:val="0"/>
          <w:numId w:val="23"/>
        </w:numPr>
        <w:snapToGrid w:val="0"/>
        <w:spacing w:line="360" w:lineRule="auto"/>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投标人应提供灵活、多样的通信手段，针对系统关键功能或招标人特殊要求提供7*24小时的响应服务，保证在任何时候招标人人员都能及时通知到投标人的工程师，保证在承诺的时间内解决问题。</w:t>
      </w:r>
    </w:p>
    <w:p>
      <w:pPr>
        <w:numPr>
          <w:ilvl w:val="0"/>
          <w:numId w:val="23"/>
        </w:numPr>
        <w:snapToGrid w:val="0"/>
        <w:spacing w:line="360" w:lineRule="auto"/>
        <w:rPr>
          <w:rFonts w:ascii="仿宋" w:hAnsi="仿宋" w:eastAsia="仿宋"/>
          <w:color w:val="000000" w:themeColor="text1"/>
          <w:sz w:val="22"/>
          <w:szCs w:val="28"/>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在保修期内，投标人保证向招标人进行软件更新和未增加新功能的软件版本升级。</w:t>
      </w:r>
    </w:p>
    <w:p>
      <w:pPr>
        <w:pStyle w:val="4"/>
        <w:rPr>
          <w:rFonts w:ascii="宋体" w:hAnsi="宋体"/>
          <w:color w:val="000000" w:themeColor="text1"/>
          <w:sz w:val="21"/>
          <w:szCs w:val="21"/>
          <w:lang w:eastAsia="zh-CN"/>
          <w14:textFill>
            <w14:solidFill>
              <w14:schemeClr w14:val="tx1"/>
            </w14:solidFill>
          </w14:textFill>
        </w:rPr>
      </w:pPr>
      <w:r>
        <w:rPr>
          <w:rFonts w:ascii="宋体" w:hAnsi="宋体"/>
          <w:color w:val="000000" w:themeColor="text1"/>
          <w:sz w:val="21"/>
          <w:szCs w:val="21"/>
          <w:lang w:eastAsia="zh-CN"/>
          <w14:textFill>
            <w14:solidFill>
              <w14:schemeClr w14:val="tx1"/>
            </w14:solidFill>
          </w14:textFill>
        </w:rPr>
        <w:t>技术支持及培训要求</w:t>
      </w:r>
      <w:bookmarkEnd w:id="2"/>
      <w:r>
        <w:rPr>
          <w:rFonts w:ascii="宋体" w:hAnsi="宋体"/>
          <w:color w:val="000000" w:themeColor="text1"/>
          <w:sz w:val="21"/>
          <w:szCs w:val="21"/>
          <w:lang w:val="en-US" w:eastAsia="zh-CN"/>
          <w14:textFill>
            <w14:solidFill>
              <w14:schemeClr w14:val="tx1"/>
            </w14:solidFill>
          </w14:textFill>
        </w:rPr>
        <w:t xml:space="preserve"> </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 xml:space="preserve">技术培训 </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投标人应提供必要的技术培训和现场安装时的现场培训，让受训人员能够独立进行日常的运行维护工作，并能鉴定和处理系统的一般性故障。</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培训课程应针对本投标人提供的软件产品所涉及到的所有硬件、软件以及相关系统。</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培训计划</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投标人应提供详细的培训计划。培训计划中应说明培训的方式、内容、人数、时间、地点、课程安排等问题。</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技术文件修改</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技术文件内容要与提供的软件产品平台一致，在双方商定的某一时期内由于软件的修改而导致文件的任何修改，投标人均应提供修改或补充的印刷文件。</w:t>
      </w:r>
    </w:p>
    <w:p>
      <w:pPr>
        <w:pStyle w:val="5"/>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系统升级</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投标人若进行设备升级，包括硬件和软件升级，均应同时提供相应的技术文件和资料。</w:t>
      </w:r>
    </w:p>
    <w:p>
      <w:pPr>
        <w:pStyle w:val="3"/>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项目实施方案</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项目时间进度要求</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系统开发划分里程碑为：定制化开发完成、平台联调完成、平台测试完成、试运行完成。具体要求：</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系统开发应根据项目内容，分阶段制定合理的时间进度，应至少细化到天。</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投标人应根据的工作内容，给出完整的分工界面，并承诺按时间交付。</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质量要求</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项目建设的设计、工程实施和维护需要满足GB/T19001-ISO9001系列标准的质量要求，建立各环节的质量责任制，严格管理，保证项目的各环节质量可控。</w:t>
      </w:r>
    </w:p>
    <w:p>
      <w:pPr>
        <w:numPr>
          <w:ilvl w:val="0"/>
          <w:numId w:val="24"/>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抓好设计关：整个技术方案设计遵循相关标准，确保方案的先进性、合理性及可靠性；</w:t>
      </w:r>
    </w:p>
    <w:p>
      <w:pPr>
        <w:numPr>
          <w:ilvl w:val="0"/>
          <w:numId w:val="24"/>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问题协商措施：针对项目工程的实施过程中出现的问题，投标人需及时通知招标人，经双方友好协商予以解决；</w:t>
      </w:r>
    </w:p>
    <w:p>
      <w:pPr>
        <w:numPr>
          <w:ilvl w:val="0"/>
          <w:numId w:val="24"/>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应用系统应易于安装和操作，应具有良好的客户操作界面，对用户输入错误等异常，需要处理并予以合理提示；</w:t>
      </w:r>
    </w:p>
    <w:p>
      <w:pPr>
        <w:numPr>
          <w:ilvl w:val="0"/>
          <w:numId w:val="24"/>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应用系统应具有良好的可扩展性，满足不断增长的用户规模和并发量请求的需求；</w:t>
      </w:r>
    </w:p>
    <w:p>
      <w:pPr>
        <w:numPr>
          <w:ilvl w:val="0"/>
          <w:numId w:val="24"/>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应用系统应易于分析和测试以及易于修改，单个模块的修改，应该不影响其他模块的正常运行。</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实施要求</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投标人需根据本技术规范书的要求结合自身在开发系统应用的实践和项目经验，提供详尽的项目管理方法和详细的项目实施计划，认真实施此次招标的项目目标。</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定制软件的设计开发、安装、调测、验收，全部由投标人负责，招标人配合完成。</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招标人发起调测后，由招标人提供测试用例文件，经确认后，在招标人督导指导下进行，招标人人员将参加调测，测试通过后，双方签署最终验收文件。</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投标人负责软件安装、软硬件调测及总体集成，配合招标人完成系统实施，完成系统测试。</w:t>
      </w:r>
    </w:p>
    <w:p>
      <w:pPr>
        <w:pStyle w:val="3"/>
        <w:rPr>
          <w:rFonts w:ascii="宋体" w:hAnsi="宋体"/>
          <w:color w:val="000000" w:themeColor="text1"/>
          <w14:textFill>
            <w14:solidFill>
              <w14:schemeClr w14:val="tx1"/>
            </w14:solidFill>
          </w14:textFill>
        </w:rPr>
      </w:pPr>
      <w:bookmarkStart w:id="4" w:name="_Toc295225973"/>
      <w:r>
        <w:rPr>
          <w:rFonts w:ascii="宋体" w:hAnsi="宋体"/>
          <w:color w:val="000000" w:themeColor="text1"/>
          <w14:textFill>
            <w14:solidFill>
              <w14:schemeClr w14:val="tx1"/>
            </w14:solidFill>
          </w14:textFill>
        </w:rPr>
        <w:t>交付及验收标准</w:t>
      </w:r>
      <w:bookmarkEnd w:id="4"/>
    </w:p>
    <w:p>
      <w:pPr>
        <w:pStyle w:val="4"/>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交付时间及要求</w:t>
      </w:r>
    </w:p>
    <w:p>
      <w:pPr>
        <w:spacing w:line="360" w:lineRule="auto"/>
        <w:ind w:left="420"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投标人必须在合同规定时间内，将招标范围内所界定的工作完成。包括但不限于：</w:t>
      </w:r>
    </w:p>
    <w:p>
      <w:pPr>
        <w:numPr>
          <w:ilvl w:val="0"/>
          <w:numId w:val="25"/>
        </w:numPr>
        <w:spacing w:line="360" w:lineRule="auto"/>
        <w:ind w:left="0" w:firstLine="425"/>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在项目合同生效起，</w:t>
      </w:r>
      <w:r>
        <w:rPr>
          <w:rFonts w:ascii="宋体" w:hAnsi="宋体" w:cs="宋体"/>
          <w:color w:val="000000" w:themeColor="text1"/>
          <w:sz w:val="21"/>
          <w:szCs w:val="21"/>
          <w:lang w:bidi="ar"/>
          <w14:textFill>
            <w14:solidFill>
              <w14:schemeClr w14:val="tx1"/>
            </w14:solidFill>
          </w14:textFill>
        </w:rPr>
        <w:t>90</w:t>
      </w:r>
      <w:r>
        <w:rPr>
          <w:rFonts w:hint="eastAsia" w:ascii="宋体" w:hAnsi="宋体" w:cs="宋体"/>
          <w:color w:val="000000" w:themeColor="text1"/>
          <w:sz w:val="21"/>
          <w:szCs w:val="21"/>
          <w:lang w:bidi="ar"/>
          <w14:textFill>
            <w14:solidFill>
              <w14:schemeClr w14:val="tx1"/>
            </w14:solidFill>
          </w14:textFill>
        </w:rPr>
        <w:t>个自然日内建设内容主体功能开发完成，即满足上线要求，上线后</w:t>
      </w:r>
      <w:r>
        <w:rPr>
          <w:rFonts w:ascii="宋体" w:hAnsi="宋体" w:cs="宋体"/>
          <w:color w:val="000000" w:themeColor="text1"/>
          <w:sz w:val="21"/>
          <w:szCs w:val="21"/>
          <w:lang w:bidi="ar"/>
          <w14:textFill>
            <w14:solidFill>
              <w14:schemeClr w14:val="tx1"/>
            </w14:solidFill>
          </w14:textFill>
        </w:rPr>
        <w:t>90</w:t>
      </w:r>
      <w:r>
        <w:rPr>
          <w:rFonts w:hint="eastAsia" w:ascii="宋体" w:hAnsi="宋体" w:cs="宋体"/>
          <w:color w:val="000000" w:themeColor="text1"/>
          <w:sz w:val="21"/>
          <w:szCs w:val="21"/>
          <w:lang w:bidi="ar"/>
          <w14:textFill>
            <w14:solidFill>
              <w14:schemeClr w14:val="tx1"/>
            </w14:solidFill>
          </w14:textFill>
        </w:rPr>
        <w:t>个自然日内完成项目初验，通过初验后试运行3个月，系统终验。</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投标人须完整交付全部代码且与现网系统保持一致，并组织对招标人研发部门进行培训，协助招标人研发部门在技术方案和代码层级自主掌控，并由</w:t>
      </w:r>
      <w:r>
        <w:rPr>
          <w:rFonts w:hint="eastAsia"/>
          <w:color w:val="000000" w:themeColor="text1"/>
          <w:sz w:val="21"/>
          <w:szCs w:val="21"/>
          <w:highlight w:val="none"/>
          <w14:textFill>
            <w14:solidFill>
              <w14:schemeClr w14:val="tx1"/>
            </w14:solidFill>
          </w14:textFill>
        </w:rPr>
        <w:t>招标人研发部门确认。</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投标人须完成和招标人研发部门智慧校园自研系统的对接，并满足现网上线能力。</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上线测试：在系统部署完成且测试资源到位后【30】个自然日内配合招标人完成产品系统测试（功能测试、性能测试、兼容性测试等）、安全评估工作，并根据测试结果在【15】个自然日内完成整改。测试工作必须配合向招标人相关部门提交详细的测试文档。</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必须对系统建设进度严格控制，保证能够在规定时间内完成系统调试工作，要求提供详细工程进度计划，在规定的时间内未能完成系统建设，招标人可对投标人进行相应考核处罚。</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系统在移交前，须配合进行详细的全网联调、功能测试、稳定性测试、坚固性测试、异常测试、压力测试、故障应急测试等工作，以保证系统的正确性。</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不能因投标人单方面的原因推迟项目进度。</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若项目进度由其他第三方原因导致延迟，应以书面的形式提交招标人申请延迟。</w:t>
      </w:r>
    </w:p>
    <w:p>
      <w:pPr>
        <w:numPr>
          <w:ilvl w:val="0"/>
          <w:numId w:val="25"/>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若由不可抗力因素导致的项目进度延迟，应与投标人应进行双方谅解。</w:t>
      </w:r>
    </w:p>
    <w:p>
      <w:pPr>
        <w:spacing w:line="360" w:lineRule="auto"/>
        <w:ind w:left="420" w:firstLine="420" w:firstLineChars="200"/>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在通过验收后，投标人需将所有项目成果交付给招标方，其中包括：</w:t>
      </w:r>
    </w:p>
    <w:p>
      <w:pPr>
        <w:numPr>
          <w:ilvl w:val="0"/>
          <w:numId w:val="26"/>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bookmarkStart w:id="5" w:name="_Toc5851"/>
      <w:bookmarkStart w:id="6" w:name="_Toc522873467"/>
      <w:bookmarkStart w:id="7" w:name="_Toc522873763"/>
      <w:bookmarkStart w:id="8" w:name="_Toc522873625"/>
      <w:r>
        <w:rPr>
          <w:rFonts w:hint="eastAsia" w:ascii="宋体" w:hAnsi="宋体" w:cs="宋体"/>
          <w:color w:val="000000" w:themeColor="text1"/>
          <w:sz w:val="21"/>
          <w:szCs w:val="21"/>
          <w:highlight w:val="none"/>
          <w:lang w:bidi="ar"/>
          <w14:textFill>
            <w14:solidFill>
              <w14:schemeClr w14:val="tx1"/>
            </w14:solidFill>
          </w14:textFill>
        </w:rPr>
        <w:t>可最终稳定良好运行的应用系统，即系统的可执行程序</w:t>
      </w:r>
      <w:bookmarkEnd w:id="5"/>
      <w:bookmarkEnd w:id="6"/>
      <w:bookmarkEnd w:id="7"/>
      <w:bookmarkEnd w:id="8"/>
      <w:r>
        <w:rPr>
          <w:rFonts w:hint="eastAsia" w:ascii="宋体" w:hAnsi="宋体" w:cs="宋体"/>
          <w:color w:val="000000" w:themeColor="text1"/>
          <w:sz w:val="21"/>
          <w:szCs w:val="21"/>
          <w:highlight w:val="none"/>
          <w:lang w:bidi="ar"/>
          <w14:textFill>
            <w14:solidFill>
              <w14:schemeClr w14:val="tx1"/>
            </w14:solidFill>
          </w14:textFill>
        </w:rPr>
        <w:t>；</w:t>
      </w:r>
    </w:p>
    <w:p>
      <w:pPr>
        <w:numPr>
          <w:ilvl w:val="0"/>
          <w:numId w:val="26"/>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bookmarkStart w:id="9" w:name="_Toc522873626"/>
      <w:bookmarkStart w:id="10" w:name="_Toc522873468"/>
      <w:bookmarkStart w:id="11" w:name="_Toc522873764"/>
      <w:bookmarkStart w:id="12" w:name="_Toc26542"/>
      <w:r>
        <w:rPr>
          <w:rFonts w:hint="eastAsia" w:ascii="宋体" w:hAnsi="宋体" w:cs="宋体"/>
          <w:color w:val="000000" w:themeColor="text1"/>
          <w:sz w:val="21"/>
          <w:szCs w:val="21"/>
          <w:highlight w:val="none"/>
          <w:lang w:bidi="ar"/>
          <w14:textFill>
            <w14:solidFill>
              <w14:schemeClr w14:val="tx1"/>
            </w14:solidFill>
          </w14:textFill>
        </w:rPr>
        <w:t>确保系统正常运行所需的管理及维护的技术文件，至少包括以下文件：</w:t>
      </w:r>
      <w:bookmarkEnd w:id="9"/>
      <w:bookmarkEnd w:id="10"/>
      <w:bookmarkEnd w:id="11"/>
      <w:bookmarkEnd w:id="12"/>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系统集成总体方案</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应用架构</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技术架构</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数据（库）设计</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开放接口/协议文档</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测试用例</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部署文档（部署所需资源明细、平台部署架构、安装手册）</w:t>
      </w:r>
    </w:p>
    <w:p>
      <w:pPr>
        <w:numPr>
          <w:ilvl w:val="1"/>
          <w:numId w:val="26"/>
        </w:numPr>
        <w:spacing w:line="360" w:lineRule="auto"/>
        <w:ind w:left="420" w:firstLine="425"/>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用户手册</w:t>
      </w:r>
    </w:p>
    <w:p>
      <w:pPr>
        <w:numPr>
          <w:ilvl w:val="0"/>
          <w:numId w:val="26"/>
        </w:numPr>
        <w:spacing w:line="360" w:lineRule="auto"/>
        <w:ind w:left="0" w:firstLine="425"/>
        <w:rPr>
          <w:rFonts w:ascii="宋体" w:hAnsi="宋体" w:cs="宋体"/>
          <w:color w:val="000000" w:themeColor="text1"/>
          <w:sz w:val="21"/>
          <w:szCs w:val="21"/>
          <w:highlight w:val="none"/>
          <w:lang w:bidi="ar"/>
          <w14:textFill>
            <w14:solidFill>
              <w14:schemeClr w14:val="tx1"/>
            </w14:solidFill>
          </w14:textFill>
        </w:rPr>
      </w:pPr>
      <w:bookmarkStart w:id="13" w:name="_Hlk106275756"/>
      <w:r>
        <w:rPr>
          <w:rFonts w:hint="eastAsia" w:ascii="宋体" w:hAnsi="宋体" w:cs="宋体"/>
          <w:color w:val="000000" w:themeColor="text1"/>
          <w:sz w:val="21"/>
          <w:szCs w:val="21"/>
          <w:highlight w:val="none"/>
          <w:lang w:bidi="ar"/>
          <w14:textFill>
            <w14:solidFill>
              <w14:schemeClr w14:val="tx1"/>
            </w14:solidFill>
          </w14:textFill>
        </w:rPr>
        <w:t>完成专利交底书撰写至少一篇，并通过招标人内部评审为有效交付。</w:t>
      </w:r>
    </w:p>
    <w:bookmarkEnd w:id="13"/>
    <w:p>
      <w:pPr>
        <w:pStyle w:val="4"/>
        <w:rPr>
          <w:rFonts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验收标准及要求</w:t>
      </w:r>
    </w:p>
    <w:p>
      <w:pPr>
        <w:spacing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系统到货并经过安装调试后，双方应进行移交测试。投标人应自行携带测试所需笔记本电脑等设备至招标人现场，并提供验收手册给招标人。验收手册经招标人确认后作为移交测试的依据。验收分为初验和终验。</w:t>
      </w:r>
    </w:p>
    <w:p>
      <w:pPr>
        <w:pStyle w:val="5"/>
        <w:rPr>
          <w:rFonts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t>上线</w:t>
      </w:r>
    </w:p>
    <w:p>
      <w:pPr>
        <w:spacing w:line="36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上线前测试，投标人需配合招标人向招标人测试验证管理和实施部门提交上线提测申请，提测申请时需要提交提测交付件包括但不限于：产品提测版本说明书、用户手册、安装手册、需求规格说明书、软件概要设计、软件详细设计、部署运维文档、数据字典、功能测试报告、性能测试报告、兼容性测试报告、高可用测试报告、监控接口测试报告等文档。</w:t>
      </w:r>
    </w:p>
    <w:p>
      <w:pPr>
        <w:spacing w:line="36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投标人需配合招标人完成测试环境的产品部署工作，提供部署物料和搭建测试环境，分析解决测试验证发现的问题。</w:t>
      </w:r>
    </w:p>
    <w:p>
      <w:pPr>
        <w:spacing w:line="36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招标人测试验证管理和实施部门，将会按照公司</w:t>
      </w:r>
      <w:r>
        <w:rPr>
          <w:color w:val="000000" w:themeColor="text1"/>
          <w:sz w:val="21"/>
          <w:szCs w:val="21"/>
          <w:highlight w:val="none"/>
          <w14:textFill>
            <w14:solidFill>
              <w14:schemeClr w14:val="tx1"/>
            </w14:solidFill>
          </w14:textFill>
        </w:rPr>
        <w:t>相关标准流程和规范</w:t>
      </w:r>
      <w:r>
        <w:rPr>
          <w:rFonts w:hint="eastAsia"/>
          <w:color w:val="000000" w:themeColor="text1"/>
          <w:sz w:val="21"/>
          <w:szCs w:val="21"/>
          <w:highlight w:val="none"/>
          <w14:textFill>
            <w14:solidFill>
              <w14:schemeClr w14:val="tx1"/>
            </w14:solidFill>
          </w14:textFill>
        </w:rPr>
        <w:t>进行测试验证，并输出测试验证报告。</w:t>
      </w:r>
    </w:p>
    <w:p>
      <w:pPr>
        <w:spacing w:line="36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投标人通过招标人验收测试，并由招标人出具测试验收报告，测试验证结果为合格，双方共同签署上线合格证书。</w:t>
      </w:r>
    </w:p>
    <w:p>
      <w:pPr>
        <w:spacing w:line="36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测试验证结果为不合格，投标人需配合招标人针对问题，进行整改，待问题修复并自测通过后，需要再次进行测试验证，直到测试验证结果合格。</w:t>
      </w:r>
    </w:p>
    <w:p>
      <w:pPr>
        <w:pStyle w:val="2"/>
        <w:rPr>
          <w:color w:val="000000" w:themeColor="text1"/>
          <w:highlight w:val="none"/>
          <w14:textFill>
            <w14:solidFill>
              <w14:schemeClr w14:val="tx1"/>
            </w14:solidFill>
          </w14:textFill>
        </w:rPr>
      </w:pPr>
    </w:p>
    <w:p>
      <w:pPr>
        <w:pStyle w:val="5"/>
        <w:rPr>
          <w:rFonts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t>初验</w:t>
      </w:r>
    </w:p>
    <w:p>
      <w:pPr>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初验标准：</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1、可提供完整的项目各阶段文档：需求规格说明书、系统设计文档、数据字典、数据库设计说明书、接口文档、软件源代码（应用及包含和引用的开源代码、存量系统的最新代码）、部署指导手册、用户操作手册、运维手册等。</w:t>
      </w:r>
    </w:p>
    <w:p>
      <w:pPr>
        <w:spacing w:line="360" w:lineRule="auto"/>
        <w:ind w:firstLine="420" w:firstLineChars="200"/>
        <w:rPr>
          <w:rFonts w:ascii="宋体" w:hAnsi="宋体" w:cs="宋体"/>
          <w:color w:val="000000" w:themeColor="text1"/>
          <w:sz w:val="21"/>
          <w:szCs w:val="21"/>
          <w:highlight w:val="none"/>
          <w:lang w:bidi="ar"/>
          <w14:textFill>
            <w14:solidFill>
              <w14:schemeClr w14:val="tx1"/>
            </w14:solidFill>
          </w14:textFill>
        </w:rPr>
      </w:pPr>
      <w:r>
        <w:rPr>
          <w:rFonts w:hint="eastAsia" w:ascii="宋体" w:hAnsi="宋体" w:cs="宋体"/>
          <w:color w:val="000000" w:themeColor="text1"/>
          <w:sz w:val="21"/>
          <w:szCs w:val="21"/>
          <w:highlight w:val="none"/>
          <w:lang w:bidi="ar"/>
          <w14:textFill>
            <w14:solidFill>
              <w14:schemeClr w14:val="tx1"/>
            </w14:solidFill>
          </w14:textFill>
        </w:rPr>
        <w:t>2、项目验收须经过</w:t>
      </w:r>
      <w:r>
        <w:rPr>
          <w:rFonts w:hint="eastAsia"/>
          <w:color w:val="000000" w:themeColor="text1"/>
          <w:sz w:val="21"/>
          <w:szCs w:val="21"/>
          <w:highlight w:val="none"/>
          <w14:textFill>
            <w14:solidFill>
              <w14:schemeClr w14:val="tx1"/>
            </w14:solidFill>
          </w14:textFill>
        </w:rPr>
        <w:t>招标人研发部门</w:t>
      </w:r>
      <w:r>
        <w:rPr>
          <w:rFonts w:hint="eastAsia" w:ascii="宋体" w:hAnsi="宋体" w:cs="宋体"/>
          <w:color w:val="000000" w:themeColor="text1"/>
          <w:sz w:val="21"/>
          <w:szCs w:val="21"/>
          <w:highlight w:val="none"/>
          <w:lang w:bidi="ar"/>
          <w14:textFill>
            <w14:solidFill>
              <w14:schemeClr w14:val="tx1"/>
            </w14:solidFill>
          </w14:textFill>
        </w:rPr>
        <w:t>确认，交付代码需和现网系统保持一致，且符合</w:t>
      </w:r>
      <w:r>
        <w:rPr>
          <w:rFonts w:hint="eastAsia"/>
          <w:color w:val="000000" w:themeColor="text1"/>
          <w:sz w:val="21"/>
          <w:szCs w:val="21"/>
          <w:highlight w:val="none"/>
          <w14:textFill>
            <w14:solidFill>
              <w14:schemeClr w14:val="tx1"/>
            </w14:solidFill>
          </w14:textFill>
        </w:rPr>
        <w:t>招标人</w:t>
      </w:r>
      <w:r>
        <w:rPr>
          <w:rFonts w:hint="eastAsia" w:ascii="宋体" w:hAnsi="宋体" w:cs="宋体"/>
          <w:color w:val="000000" w:themeColor="text1"/>
          <w:sz w:val="21"/>
          <w:szCs w:val="21"/>
          <w:highlight w:val="none"/>
          <w:lang w:bidi="ar"/>
          <w14:textFill>
            <w14:solidFill>
              <w14:schemeClr w14:val="tx1"/>
            </w14:solidFill>
          </w14:textFill>
        </w:rPr>
        <w:t>自主掌控要求后，</w:t>
      </w:r>
      <w:r>
        <w:rPr>
          <w:rFonts w:hint="eastAsia"/>
          <w:color w:val="000000" w:themeColor="text1"/>
          <w:sz w:val="21"/>
          <w:szCs w:val="21"/>
          <w:highlight w:val="none"/>
          <w14:textFill>
            <w14:solidFill>
              <w14:schemeClr w14:val="tx1"/>
            </w14:solidFill>
          </w14:textFill>
        </w:rPr>
        <w:t>招标人研发部门出具自主掌控评估报告且通过，</w:t>
      </w:r>
      <w:r>
        <w:rPr>
          <w:rFonts w:hint="eastAsia" w:ascii="宋体" w:hAnsi="宋体" w:cs="宋体"/>
          <w:color w:val="000000" w:themeColor="text1"/>
          <w:sz w:val="21"/>
          <w:szCs w:val="21"/>
          <w:highlight w:val="none"/>
          <w:lang w:bidi="ar"/>
          <w14:textFill>
            <w14:solidFill>
              <w14:schemeClr w14:val="tx1"/>
            </w14:solidFill>
          </w14:textFill>
        </w:rPr>
        <w:t>方能进行项目验收。</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3、通过测试用例进行性能测试、功能测试、兼容性测试、安全性测试，提交测试方案、测试用例、测试报告、安全评估报告，测试用例覆盖率100%，测试用例通过率≥99%, 遗留缺陷数≤5且不存在严重影响系统稳定性及可用性的问题。</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在移交测试完成后，投标人应在招标人配合下进行系统的联网测试。联网测试顺利完成后，投标人应配合招标人对系统进行初验。系统达到本技术规范书及验收手册中投标人承诺满足的技术要求和指标后，招标人和投标人的授权代表应签署【2】份初验合格证书，双方各执【1】份。</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如果系统存在无实质性影响的微小缺陷/故障/瑕疵，且投标人及时采取措施进行修理或替换，在招标人同意的前提下，双方仍将由各自授权代表签署初验合格证书。</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如果由于投标人的原因，使系统中的任何一部分不能通过初验，则投标人应采取补救措施以使初验能够尽快再次进行，直到完成初验。</w:t>
      </w:r>
    </w:p>
    <w:p>
      <w:pPr>
        <w:spacing w:line="360" w:lineRule="auto"/>
        <w:ind w:firstLine="420" w:firstLineChars="200"/>
        <w:rPr>
          <w:color w:val="000000" w:themeColor="text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在联网和初验过程中，如因投标人人员行为造成招标人网络中断、运行故障、数据丢失等事件，则由此造成的损失(包括但不限于修复费用、中断期间营业损失等)由投标人承担。</w:t>
      </w:r>
    </w:p>
    <w:p>
      <w:pPr>
        <w:pStyle w:val="5"/>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试运行</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从初验合格证书签署后的第2日起，招标人对本项目系统进行为期【3】个月的试运行。对任何在试运行期内的故障，招标人应以书面形式通知投标人。</w:t>
      </w:r>
    </w:p>
    <w:p>
      <w:pPr>
        <w:pStyle w:val="2"/>
        <w:ind w:firstLine="420"/>
      </w:pPr>
      <w:r>
        <w:rPr>
          <w:rFonts w:hint="eastAsia" w:ascii="宋体" w:hAnsi="宋体" w:cs="宋体"/>
          <w:color w:val="000000" w:themeColor="text1"/>
          <w:sz w:val="21"/>
          <w:szCs w:val="21"/>
          <w:lang w:bidi="ar"/>
          <w14:textFill>
            <w14:solidFill>
              <w14:schemeClr w14:val="tx1"/>
            </w14:solidFill>
          </w14:textFill>
        </w:rPr>
        <w:t>上线后投标人驻场支撑6个月，驻场服务内容、质量由招标人把关。</w:t>
      </w:r>
    </w:p>
    <w:p>
      <w:pPr>
        <w:spacing w:line="360" w:lineRule="auto"/>
        <w:ind w:firstLine="420" w:firstLineChars="200"/>
        <w:rPr>
          <w:rFonts w:ascii="宋体" w:hAnsi="宋体" w:cs="宋体"/>
          <w:color w:val="000000" w:themeColor="text1"/>
          <w:sz w:val="21"/>
          <w:szCs w:val="21"/>
          <w:lang w:bidi="ar"/>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试运行期间系统的功能和性能应符合本技术规范书。如果在试运行期内发现系统的功能和性能与本技术规范书的约定有任何不符，投标人应当对其进行修改和矫正，直至达到投标人承诺满足的技术要求和指标。</w:t>
      </w:r>
    </w:p>
    <w:p>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1"/>
          <w:szCs w:val="21"/>
          <w:lang w:bidi="ar"/>
          <w14:textFill>
            <w14:solidFill>
              <w14:schemeClr w14:val="tx1"/>
            </w14:solidFill>
          </w14:textFill>
        </w:rPr>
        <w:t>试运行期结束后，招标人将按照技术规范书及验收手册中的有关规定进行最终验收测试。终验需修复初验和试运行期间所有问题，并重新测试通过，系统达到技术规范书及验收手册中投标人承诺满足的技术要求和指标后，双方将签署终验合格证书，终验合格证书一式【2】份，双方各执一【1】份。终验合格证书仅作为投标人履行其义务的必要证据，其签署并不免除投标人对合同系统质量缺陷或瑕疵的担保责任。</w:t>
      </w:r>
    </w:p>
    <w:p>
      <w:pPr>
        <w:pStyle w:val="5"/>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终验评分表及结算比例</w:t>
      </w:r>
    </w:p>
    <w:p>
      <w:pPr>
        <w:numPr>
          <w:ilvl w:val="0"/>
          <w:numId w:val="27"/>
        </w:numPr>
        <w:snapToGrid w:val="0"/>
        <w:spacing w:line="360" w:lineRule="auto"/>
        <w:rPr>
          <w:rFonts w:ascii="宋体" w:hAnsi="宋体" w:cs="宋体"/>
          <w:color w:val="000000" w:themeColor="text1"/>
          <w:sz w:val="21"/>
          <w:szCs w:val="21"/>
          <w:highlight w:val="none"/>
          <w:lang w:bidi="ar"/>
          <w14:textFill>
            <w14:solidFill>
              <w14:schemeClr w14:val="tx1"/>
            </w14:solidFill>
          </w14:textFill>
        </w:rPr>
      </w:pPr>
      <w:bookmarkStart w:id="14" w:name="_GoBack"/>
      <w:r>
        <w:rPr>
          <w:rFonts w:hint="eastAsia" w:ascii="宋体" w:hAnsi="宋体" w:cs="仿宋"/>
          <w:b/>
          <w:bCs/>
          <w:color w:val="000000" w:themeColor="text1"/>
          <w:szCs w:val="21"/>
          <w:highlight w:val="none"/>
          <w14:textFill>
            <w14:solidFill>
              <w14:schemeClr w14:val="tx1"/>
            </w14:solidFill>
          </w14:textFill>
        </w:rPr>
        <w:t>终验前提：</w:t>
      </w:r>
      <w:r>
        <w:rPr>
          <w:rFonts w:hint="eastAsia" w:ascii="宋体" w:hAnsi="宋体" w:cs="宋体"/>
          <w:color w:val="000000" w:themeColor="text1"/>
          <w:sz w:val="21"/>
          <w:szCs w:val="21"/>
          <w:highlight w:val="none"/>
          <w:lang w:bidi="ar"/>
          <w14:textFill>
            <w14:solidFill>
              <w14:schemeClr w14:val="tx1"/>
            </w14:solidFill>
          </w14:textFill>
        </w:rPr>
        <w:t>项目验收须经过</w:t>
      </w:r>
      <w:r>
        <w:rPr>
          <w:rFonts w:hint="eastAsia"/>
          <w:color w:val="000000" w:themeColor="text1"/>
          <w:sz w:val="21"/>
          <w:szCs w:val="21"/>
          <w:highlight w:val="none"/>
          <w14:textFill>
            <w14:solidFill>
              <w14:schemeClr w14:val="tx1"/>
            </w14:solidFill>
          </w14:textFill>
        </w:rPr>
        <w:t>招标人研发部门</w:t>
      </w:r>
      <w:r>
        <w:rPr>
          <w:rFonts w:hint="eastAsia" w:ascii="宋体" w:hAnsi="宋体" w:cs="宋体"/>
          <w:color w:val="000000" w:themeColor="text1"/>
          <w:sz w:val="21"/>
          <w:szCs w:val="21"/>
          <w:highlight w:val="none"/>
          <w:lang w:bidi="ar"/>
          <w14:textFill>
            <w14:solidFill>
              <w14:schemeClr w14:val="tx1"/>
            </w14:solidFill>
          </w14:textFill>
        </w:rPr>
        <w:t>确认，交付代码需和现网系统保持一致，且符合</w:t>
      </w:r>
      <w:r>
        <w:rPr>
          <w:rFonts w:hint="eastAsia"/>
          <w:color w:val="000000" w:themeColor="text1"/>
          <w:sz w:val="21"/>
          <w:szCs w:val="21"/>
          <w:highlight w:val="none"/>
          <w14:textFill>
            <w14:solidFill>
              <w14:schemeClr w14:val="tx1"/>
            </w14:solidFill>
          </w14:textFill>
        </w:rPr>
        <w:t>招标人</w:t>
      </w:r>
      <w:r>
        <w:rPr>
          <w:rFonts w:hint="eastAsia" w:ascii="宋体" w:hAnsi="宋体" w:cs="宋体"/>
          <w:color w:val="000000" w:themeColor="text1"/>
          <w:sz w:val="21"/>
          <w:szCs w:val="21"/>
          <w:highlight w:val="none"/>
          <w:lang w:bidi="ar"/>
          <w14:textFill>
            <w14:solidFill>
              <w14:schemeClr w14:val="tx1"/>
            </w14:solidFill>
          </w14:textFill>
        </w:rPr>
        <w:t>自主掌控要求后，</w:t>
      </w:r>
      <w:r>
        <w:rPr>
          <w:rFonts w:hint="eastAsia"/>
          <w:color w:val="000000" w:themeColor="text1"/>
          <w:sz w:val="21"/>
          <w:szCs w:val="21"/>
          <w:highlight w:val="none"/>
          <w14:textFill>
            <w14:solidFill>
              <w14:schemeClr w14:val="tx1"/>
            </w14:solidFill>
          </w14:textFill>
        </w:rPr>
        <w:t>招标人研发部门出具自主掌控评估报告且通过，</w:t>
      </w:r>
      <w:r>
        <w:rPr>
          <w:rFonts w:hint="eastAsia" w:ascii="宋体" w:hAnsi="宋体" w:cs="宋体"/>
          <w:color w:val="000000" w:themeColor="text1"/>
          <w:sz w:val="21"/>
          <w:szCs w:val="21"/>
          <w:highlight w:val="none"/>
          <w:lang w:bidi="ar"/>
          <w14:textFill>
            <w14:solidFill>
              <w14:schemeClr w14:val="tx1"/>
            </w14:solidFill>
          </w14:textFill>
        </w:rPr>
        <w:t>方能进行项目验收。</w:t>
      </w:r>
    </w:p>
    <w:bookmarkEnd w:id="14"/>
    <w:p>
      <w:pPr>
        <w:numPr>
          <w:ilvl w:val="255"/>
          <w:numId w:val="0"/>
        </w:numPr>
        <w:snapToGrid w:val="0"/>
        <w:spacing w:line="360" w:lineRule="auto"/>
        <w:rPr>
          <w:rFonts w:ascii="宋体" w:hAnsi="宋体" w:cs="仿宋"/>
          <w:b/>
          <w:bCs/>
          <w:color w:val="000000" w:themeColor="text1"/>
          <w:szCs w:val="21"/>
          <w14:textFill>
            <w14:solidFill>
              <w14:schemeClr w14:val="tx1"/>
            </w14:solidFill>
          </w14:textFill>
        </w:rPr>
      </w:pPr>
    </w:p>
    <w:p>
      <w:pPr>
        <w:numPr>
          <w:ilvl w:val="0"/>
          <w:numId w:val="27"/>
        </w:numPr>
        <w:snapToGrid w:val="0"/>
        <w:spacing w:line="360" w:lineRule="auto"/>
        <w:rPr>
          <w:rFonts w:ascii="宋体" w:hAnsi="宋体" w:cs="仿宋"/>
          <w:b/>
          <w:bCs/>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终验考核表：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1650"/>
        <w:gridCol w:w="736"/>
        <w:gridCol w:w="4131"/>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Align w:val="center"/>
          </w:tcPr>
          <w:p>
            <w:pPr>
              <w:snapToGrid w:val="0"/>
              <w:spacing w:line="300" w:lineRule="auto"/>
              <w:jc w:val="center"/>
              <w:rPr>
                <w:rFonts w:ascii="宋体" w:hAnsi="宋体" w:cs="仿宋"/>
                <w:b/>
                <w:bCs/>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考核大项</w:t>
            </w:r>
          </w:p>
        </w:tc>
        <w:tc>
          <w:tcPr>
            <w:tcW w:w="968" w:type="pct"/>
            <w:vAlign w:val="center"/>
          </w:tcPr>
          <w:p>
            <w:pPr>
              <w:snapToGrid w:val="0"/>
              <w:spacing w:line="300" w:lineRule="auto"/>
              <w:jc w:val="center"/>
              <w:rPr>
                <w:rFonts w:ascii="宋体" w:hAnsi="宋体" w:cs="仿宋"/>
                <w:b/>
                <w:bCs/>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考核细项</w:t>
            </w:r>
          </w:p>
        </w:tc>
        <w:tc>
          <w:tcPr>
            <w:tcW w:w="432" w:type="pct"/>
            <w:vAlign w:val="center"/>
          </w:tcPr>
          <w:p>
            <w:pPr>
              <w:snapToGrid w:val="0"/>
              <w:spacing w:line="300" w:lineRule="auto"/>
              <w:jc w:val="center"/>
              <w:rPr>
                <w:rFonts w:ascii="宋体" w:hAnsi="宋体" w:cs="仿宋"/>
                <w:b/>
                <w:bCs/>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分值</w:t>
            </w:r>
          </w:p>
        </w:tc>
        <w:tc>
          <w:tcPr>
            <w:tcW w:w="2424" w:type="pct"/>
            <w:vAlign w:val="center"/>
          </w:tcPr>
          <w:p>
            <w:pPr>
              <w:snapToGrid w:val="0"/>
              <w:spacing w:line="300" w:lineRule="auto"/>
              <w:jc w:val="center"/>
              <w:rPr>
                <w:rFonts w:ascii="宋体" w:hAnsi="宋体" w:cs="仿宋"/>
                <w:b/>
                <w:bCs/>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评分标准</w:t>
            </w:r>
          </w:p>
        </w:tc>
        <w:tc>
          <w:tcPr>
            <w:tcW w:w="433" w:type="pct"/>
            <w:vAlign w:val="center"/>
          </w:tcPr>
          <w:p>
            <w:pPr>
              <w:snapToGrid w:val="0"/>
              <w:spacing w:line="300" w:lineRule="auto"/>
              <w:jc w:val="center"/>
              <w:rPr>
                <w:rFonts w:ascii="宋体" w:hAnsi="宋体" w:cs="仿宋"/>
                <w:b/>
                <w:bCs/>
                <w:color w:val="000000" w:themeColor="text1"/>
                <w:szCs w:val="21"/>
                <w14:textFill>
                  <w14:solidFill>
                    <w14:schemeClr w14:val="tx1"/>
                  </w14:solidFill>
                </w14:textFill>
              </w:rPr>
            </w:pPr>
            <w:r>
              <w:rPr>
                <w:rFonts w:hint="eastAsia" w:ascii="宋体" w:hAnsi="宋体" w:cs="仿宋"/>
                <w:b/>
                <w:bCs/>
                <w:color w:val="000000" w:themeColor="text1"/>
                <w:szCs w:val="21"/>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restar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项目研发得分（5</w:t>
            </w:r>
            <w:r>
              <w:rPr>
                <w:rFonts w:ascii="宋体" w:hAnsi="宋体" w:cs="仿宋"/>
                <w:color w:val="000000" w:themeColor="text1"/>
                <w:szCs w:val="21"/>
                <w14:textFill>
                  <w14:solidFill>
                    <w14:schemeClr w14:val="tx1"/>
                  </w14:solidFill>
                </w14:textFill>
              </w:rPr>
              <w:t>0</w:t>
            </w:r>
            <w:r>
              <w:rPr>
                <w:rFonts w:hint="eastAsia" w:ascii="宋体" w:hAnsi="宋体" w:cs="仿宋"/>
                <w:color w:val="000000" w:themeColor="text1"/>
                <w:szCs w:val="21"/>
                <w14:textFill>
                  <w14:solidFill>
                    <w14:schemeClr w14:val="tx1"/>
                  </w14:solidFill>
                </w14:textFill>
              </w:rPr>
              <w:t>分）</w:t>
            </w:r>
          </w:p>
        </w:tc>
        <w:tc>
          <w:tcPr>
            <w:tcW w:w="968"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需求制定</w:t>
            </w:r>
          </w:p>
        </w:tc>
        <w:tc>
          <w:tcPr>
            <w:tcW w:w="432"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ascii="宋体" w:hAnsi="宋体" w:cs="仿宋"/>
                <w:color w:val="000000" w:themeColor="text1"/>
                <w:szCs w:val="21"/>
                <w14:textFill>
                  <w14:solidFill>
                    <w14:schemeClr w14:val="tx1"/>
                  </w14:solidFill>
                </w14:textFill>
              </w:rPr>
              <w:t>5</w:t>
            </w:r>
          </w:p>
        </w:tc>
        <w:tc>
          <w:tcPr>
            <w:tcW w:w="2424" w:type="pct"/>
          </w:tcPr>
          <w:p>
            <w:pPr>
              <w:pStyle w:val="19"/>
              <w:numPr>
                <w:ilvl w:val="0"/>
                <w:numId w:val="28"/>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未能按计划制定详细的时间进度表及相关负责人说明（扣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28"/>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未能按计划制定详细的业务需求说明（扣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28"/>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未能按时交付相关需求文档及开发计划（扣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28"/>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未能积极响应需求、主动找接口人沟通（扣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28"/>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未能准确</w:t>
            </w:r>
            <w:r>
              <w:rPr>
                <w:rFonts w:ascii="宋体" w:hAnsi="宋体" w:cs="仿宋"/>
                <w:color w:val="000000" w:themeColor="text1"/>
                <w14:textFill>
                  <w14:solidFill>
                    <w14:schemeClr w14:val="tx1"/>
                  </w14:solidFill>
                </w14:textFill>
              </w:rPr>
              <w:t>表达了</w:t>
            </w:r>
            <w:r>
              <w:rPr>
                <w:rFonts w:hint="eastAsia" w:ascii="宋体" w:hAnsi="宋体" w:cs="仿宋"/>
                <w:color w:val="000000" w:themeColor="text1"/>
                <w14:textFill>
                  <w14:solidFill>
                    <w14:schemeClr w14:val="tx1"/>
                  </w14:solidFill>
                </w14:textFill>
              </w:rPr>
              <w:t>招标人</w:t>
            </w:r>
            <w:r>
              <w:rPr>
                <w:rFonts w:ascii="宋体" w:hAnsi="宋体" w:cs="仿宋"/>
                <w:color w:val="000000" w:themeColor="text1"/>
                <w14:textFill>
                  <w14:solidFill>
                    <w14:schemeClr w14:val="tx1"/>
                  </w14:solidFill>
                </w14:textFill>
              </w:rPr>
              <w:t>的</w:t>
            </w:r>
            <w:r>
              <w:rPr>
                <w:rFonts w:hint="eastAsia" w:ascii="宋体" w:hAnsi="宋体" w:cs="仿宋"/>
                <w:color w:val="000000" w:themeColor="text1"/>
                <w14:textFill>
                  <w14:solidFill>
                    <w14:schemeClr w14:val="tx1"/>
                  </w14:solidFill>
                </w14:textFill>
              </w:rPr>
              <w:t>需求</w:t>
            </w:r>
            <w:r>
              <w:rPr>
                <w:rFonts w:ascii="宋体" w:hAnsi="宋体" w:cs="仿宋"/>
                <w:color w:val="000000" w:themeColor="text1"/>
                <w14:textFill>
                  <w14:solidFill>
                    <w14:schemeClr w14:val="tx1"/>
                  </w14:solidFill>
                </w14:textFill>
              </w:rPr>
              <w:t>意愿</w:t>
            </w:r>
            <w:r>
              <w:rPr>
                <w:rFonts w:hint="eastAsia" w:ascii="宋体" w:hAnsi="宋体" w:cs="仿宋"/>
                <w:color w:val="000000" w:themeColor="text1"/>
                <w14:textFill>
                  <w14:solidFill>
                    <w14:schemeClr w14:val="tx1"/>
                  </w14:solidFill>
                </w14:textFill>
              </w:rPr>
              <w:t>，</w:t>
            </w:r>
            <w:r>
              <w:rPr>
                <w:rFonts w:ascii="宋体" w:hAnsi="宋体" w:cs="仿宋"/>
                <w:color w:val="000000" w:themeColor="text1"/>
                <w14:textFill>
                  <w14:solidFill>
                    <w14:schemeClr w14:val="tx1"/>
                  </w14:solidFill>
                </w14:textFill>
              </w:rPr>
              <w:t>需要重新编写的</w:t>
            </w:r>
            <w:r>
              <w:rPr>
                <w:rFonts w:hint="eastAsia" w:ascii="宋体" w:hAnsi="宋体" w:cs="仿宋"/>
                <w:color w:val="000000" w:themeColor="text1"/>
                <w14:textFill>
                  <w14:solidFill>
                    <w14:schemeClr w14:val="tx1"/>
                  </w14:solidFill>
                </w14:textFill>
              </w:rPr>
              <w:t>（扣1分/次</w:t>
            </w:r>
            <w:r>
              <w:rPr>
                <w:rFonts w:ascii="宋体" w:hAnsi="宋体" w:cs="仿宋"/>
                <w:color w:val="000000" w:themeColor="text1"/>
                <w14:textFill>
                  <w14:solidFill>
                    <w14:schemeClr w14:val="tx1"/>
                  </w14:solidFill>
                </w14:textFill>
              </w:rPr>
              <w:t>）</w:t>
            </w:r>
          </w:p>
        </w:tc>
        <w:tc>
          <w:tcPr>
            <w:tcW w:w="433" w:type="pct"/>
          </w:tcPr>
          <w:p>
            <w:pPr>
              <w:snapToGrid w:val="0"/>
              <w:spacing w:line="300" w:lineRule="auto"/>
              <w:rPr>
                <w:rFonts w:ascii="宋体" w:hAnsi="宋体"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p>
        </w:tc>
        <w:tc>
          <w:tcPr>
            <w:tcW w:w="968"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产品研发</w:t>
            </w:r>
          </w:p>
        </w:tc>
        <w:tc>
          <w:tcPr>
            <w:tcW w:w="432"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w:t>
            </w:r>
            <w:r>
              <w:rPr>
                <w:rFonts w:ascii="宋体" w:hAnsi="宋体" w:cs="仿宋"/>
                <w:color w:val="000000" w:themeColor="text1"/>
                <w:szCs w:val="21"/>
                <w14:textFill>
                  <w14:solidFill>
                    <w14:schemeClr w14:val="tx1"/>
                  </w14:solidFill>
                </w14:textFill>
              </w:rPr>
              <w:t>0</w:t>
            </w:r>
          </w:p>
        </w:tc>
        <w:tc>
          <w:tcPr>
            <w:tcW w:w="2424" w:type="pct"/>
          </w:tcPr>
          <w:p>
            <w:pPr>
              <w:pStyle w:val="19"/>
              <w:numPr>
                <w:ilvl w:val="0"/>
                <w:numId w:val="29"/>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交付</w:t>
            </w:r>
            <w:r>
              <w:rPr>
                <w:rFonts w:ascii="宋体" w:hAnsi="宋体" w:cs="仿宋"/>
                <w:color w:val="000000" w:themeColor="text1"/>
                <w14:textFill>
                  <w14:solidFill>
                    <w14:schemeClr w14:val="tx1"/>
                  </w14:solidFill>
                </w14:textFill>
              </w:rPr>
              <w:t>系统</w:t>
            </w:r>
            <w:r>
              <w:rPr>
                <w:rFonts w:hint="eastAsia" w:ascii="宋体" w:hAnsi="宋体" w:cs="仿宋"/>
                <w:color w:val="000000" w:themeColor="text1"/>
                <w14:textFill>
                  <w14:solidFill>
                    <w14:schemeClr w14:val="tx1"/>
                  </w14:solidFill>
                </w14:textFill>
              </w:rPr>
              <w:t>未能</w:t>
            </w:r>
            <w:r>
              <w:rPr>
                <w:rFonts w:ascii="宋体" w:hAnsi="宋体" w:cs="仿宋"/>
                <w:color w:val="000000" w:themeColor="text1"/>
                <w14:textFill>
                  <w14:solidFill>
                    <w14:schemeClr w14:val="tx1"/>
                  </w14:solidFill>
                </w14:textFill>
              </w:rPr>
              <w:t>通过</w:t>
            </w:r>
            <w:r>
              <w:rPr>
                <w:rFonts w:hint="eastAsia" w:ascii="宋体" w:hAnsi="宋体" w:cs="仿宋"/>
                <w:color w:val="000000" w:themeColor="text1"/>
                <w14:textFill>
                  <w14:solidFill>
                    <w14:schemeClr w14:val="tx1"/>
                  </w14:solidFill>
                </w14:textFill>
              </w:rPr>
              <w:t>招标</w:t>
            </w:r>
            <w:r>
              <w:rPr>
                <w:rFonts w:ascii="宋体" w:hAnsi="宋体" w:cs="仿宋"/>
                <w:color w:val="000000" w:themeColor="text1"/>
                <w14:textFill>
                  <w14:solidFill>
                    <w14:schemeClr w14:val="tx1"/>
                  </w14:solidFill>
                </w14:textFill>
              </w:rPr>
              <w:t>人组织的测试，</w:t>
            </w:r>
            <w:r>
              <w:rPr>
                <w:rFonts w:hint="eastAsia" w:ascii="宋体" w:hAnsi="宋体" w:cs="仿宋"/>
                <w:color w:val="000000" w:themeColor="text1"/>
                <w14:textFill>
                  <w14:solidFill>
                    <w14:schemeClr w14:val="tx1"/>
                  </w14:solidFill>
                </w14:textFill>
              </w:rPr>
              <w:t>功能</w:t>
            </w:r>
            <w:r>
              <w:rPr>
                <w:rFonts w:ascii="宋体" w:hAnsi="宋体" w:cs="仿宋"/>
                <w:color w:val="000000" w:themeColor="text1"/>
                <w14:textFill>
                  <w14:solidFill>
                    <w14:schemeClr w14:val="tx1"/>
                  </w14:solidFill>
                </w14:textFill>
              </w:rPr>
              <w:t>或性能未达到</w:t>
            </w:r>
            <w:r>
              <w:rPr>
                <w:rFonts w:hint="eastAsia" w:ascii="宋体" w:hAnsi="宋体" w:cs="仿宋"/>
                <w:color w:val="000000" w:themeColor="text1"/>
                <w14:textFill>
                  <w14:solidFill>
                    <w14:schemeClr w14:val="tx1"/>
                  </w14:solidFill>
                </w14:textFill>
              </w:rPr>
              <w:t>技术规范</w:t>
            </w:r>
            <w:r>
              <w:rPr>
                <w:rFonts w:ascii="宋体" w:hAnsi="宋体" w:cs="仿宋"/>
                <w:color w:val="000000" w:themeColor="text1"/>
                <w14:textFill>
                  <w14:solidFill>
                    <w14:schemeClr w14:val="tx1"/>
                  </w14:solidFill>
                </w14:textFill>
              </w:rPr>
              <w:t>书</w:t>
            </w:r>
            <w:r>
              <w:rPr>
                <w:rFonts w:hint="eastAsia" w:ascii="宋体" w:hAnsi="宋体" w:cs="仿宋"/>
                <w:color w:val="000000" w:themeColor="text1"/>
                <w14:textFill>
                  <w14:solidFill>
                    <w14:schemeClr w14:val="tx1"/>
                  </w14:solidFill>
                </w14:textFill>
              </w:rPr>
              <w:t>的</w:t>
            </w:r>
            <w:r>
              <w:rPr>
                <w:rFonts w:ascii="宋体" w:hAnsi="宋体" w:cs="仿宋"/>
                <w:color w:val="000000" w:themeColor="text1"/>
                <w14:textFill>
                  <w14:solidFill>
                    <w14:schemeClr w14:val="tx1"/>
                  </w14:solidFill>
                </w14:textFill>
              </w:rPr>
              <w:t>要求（</w:t>
            </w:r>
            <w:r>
              <w:rPr>
                <w:rFonts w:hint="eastAsia" w:ascii="宋体" w:hAnsi="宋体" w:cs="仿宋"/>
                <w:color w:val="000000" w:themeColor="text1"/>
                <w14:textFill>
                  <w14:solidFill>
                    <w14:schemeClr w14:val="tx1"/>
                  </w14:solidFill>
                </w14:textFill>
              </w:rPr>
              <w:t>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项</w:t>
            </w:r>
            <w:r>
              <w:rPr>
                <w:rFonts w:ascii="宋体" w:hAnsi="宋体" w:cs="仿宋"/>
                <w:color w:val="000000" w:themeColor="text1"/>
                <w14:textFill>
                  <w14:solidFill>
                    <w14:schemeClr w14:val="tx1"/>
                  </w14:solidFill>
                </w14:textFill>
              </w:rPr>
              <w:t>）</w:t>
            </w:r>
          </w:p>
          <w:p>
            <w:pPr>
              <w:pStyle w:val="19"/>
              <w:numPr>
                <w:ilvl w:val="0"/>
                <w:numId w:val="29"/>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w:t>
            </w:r>
            <w:r>
              <w:rPr>
                <w:rFonts w:ascii="宋体" w:hAnsi="宋体" w:cs="仿宋"/>
                <w:color w:val="000000" w:themeColor="text1"/>
                <w14:textFill>
                  <w14:solidFill>
                    <w14:schemeClr w14:val="tx1"/>
                  </w14:solidFill>
                </w14:textFill>
              </w:rPr>
              <w:t>按时提交工作周报</w:t>
            </w:r>
            <w:r>
              <w:rPr>
                <w:rFonts w:hint="eastAsia" w:ascii="宋体" w:hAnsi="宋体" w:cs="仿宋"/>
                <w:color w:val="000000" w:themeColor="text1"/>
                <w14:textFill>
                  <w14:solidFill>
                    <w14:schemeClr w14:val="tx1"/>
                  </w14:solidFill>
                </w14:textFill>
              </w:rPr>
              <w:t>（扣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29"/>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未能按计划进行功能交付（扣</w:t>
            </w:r>
            <w:r>
              <w:rPr>
                <w:rFonts w:ascii="宋体" w:hAnsi="宋体" w:cs="仿宋"/>
                <w:color w:val="000000" w:themeColor="text1"/>
                <w14:textFill>
                  <w14:solidFill>
                    <w14:schemeClr w14:val="tx1"/>
                  </w14:solidFill>
                </w14:textFill>
              </w:rPr>
              <w:t>0.5</w:t>
            </w:r>
            <w:r>
              <w:rPr>
                <w:rFonts w:hint="eastAsia" w:ascii="宋体" w:hAnsi="宋体" w:cs="仿宋"/>
                <w:color w:val="000000" w:themeColor="text1"/>
                <w14:textFill>
                  <w14:solidFill>
                    <w14:schemeClr w14:val="tx1"/>
                  </w14:solidFill>
                </w14:textFill>
              </w:rPr>
              <w:t>分/周</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功能）</w:t>
            </w:r>
          </w:p>
          <w:p>
            <w:pPr>
              <w:pStyle w:val="19"/>
              <w:numPr>
                <w:ilvl w:val="0"/>
                <w:numId w:val="29"/>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提交的产品未能满足既定的业务需求（扣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项）</w:t>
            </w:r>
          </w:p>
          <w:p>
            <w:pPr>
              <w:pStyle w:val="19"/>
              <w:numPr>
                <w:ilvl w:val="0"/>
                <w:numId w:val="29"/>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未能按计划制定更新项目过程</w:t>
            </w:r>
            <w:r>
              <w:rPr>
                <w:rFonts w:ascii="宋体" w:hAnsi="宋体" w:cs="仿宋"/>
                <w:color w:val="000000" w:themeColor="text1"/>
                <w14:textFill>
                  <w14:solidFill>
                    <w14:schemeClr w14:val="tx1"/>
                  </w14:solidFill>
                </w14:textFill>
              </w:rPr>
              <w:t>文档</w:t>
            </w:r>
            <w:r>
              <w:rPr>
                <w:rFonts w:hint="eastAsia" w:ascii="宋体" w:hAnsi="宋体" w:cs="仿宋"/>
                <w:color w:val="000000" w:themeColor="text1"/>
                <w14:textFill>
                  <w14:solidFill>
                    <w14:schemeClr w14:val="tx1"/>
                  </w14:solidFill>
                </w14:textFill>
              </w:rPr>
              <w:t>（扣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分/项）</w:t>
            </w:r>
          </w:p>
        </w:tc>
        <w:tc>
          <w:tcPr>
            <w:tcW w:w="433" w:type="pct"/>
          </w:tcPr>
          <w:p>
            <w:pPr>
              <w:snapToGrid w:val="0"/>
              <w:spacing w:line="300" w:lineRule="auto"/>
              <w:rPr>
                <w:rFonts w:ascii="宋体" w:hAnsi="宋体"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p>
        </w:tc>
        <w:tc>
          <w:tcPr>
            <w:tcW w:w="968"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产品发布</w:t>
            </w:r>
          </w:p>
        </w:tc>
        <w:tc>
          <w:tcPr>
            <w:tcW w:w="432"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ascii="宋体" w:hAnsi="宋体" w:cs="仿宋"/>
                <w:color w:val="000000" w:themeColor="text1"/>
                <w:szCs w:val="21"/>
                <w14:textFill>
                  <w14:solidFill>
                    <w14:schemeClr w14:val="tx1"/>
                  </w14:solidFill>
                </w14:textFill>
              </w:rPr>
              <w:t>5</w:t>
            </w:r>
          </w:p>
        </w:tc>
        <w:tc>
          <w:tcPr>
            <w:tcW w:w="2424" w:type="pct"/>
          </w:tcPr>
          <w:p>
            <w:pPr>
              <w:pStyle w:val="19"/>
              <w:numPr>
                <w:ilvl w:val="0"/>
                <w:numId w:val="30"/>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需求上线前未按照测试流程进行详细测试，包括但不仅限于功能的白盒、黑盒测试以及产品集成测试，未提交测试报告（扣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30"/>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未能制定</w:t>
            </w:r>
            <w:r>
              <w:rPr>
                <w:rFonts w:ascii="宋体" w:hAnsi="宋体" w:cs="仿宋"/>
                <w:color w:val="000000" w:themeColor="text1"/>
                <w14:textFill>
                  <w14:solidFill>
                    <w14:schemeClr w14:val="tx1"/>
                  </w14:solidFill>
                </w14:textFill>
              </w:rPr>
              <w:t>上线</w:t>
            </w:r>
            <w:r>
              <w:rPr>
                <w:rFonts w:hint="eastAsia" w:ascii="宋体" w:hAnsi="宋体" w:cs="仿宋"/>
                <w:color w:val="000000" w:themeColor="text1"/>
                <w14:textFill>
                  <w14:solidFill>
                    <w14:schemeClr w14:val="tx1"/>
                  </w14:solidFill>
                </w14:textFill>
              </w:rPr>
              <w:t>方案</w:t>
            </w:r>
            <w:r>
              <w:rPr>
                <w:rFonts w:ascii="宋体" w:hAnsi="宋体" w:cs="仿宋"/>
                <w:color w:val="000000" w:themeColor="text1"/>
                <w14:textFill>
                  <w14:solidFill>
                    <w14:schemeClr w14:val="tx1"/>
                  </w14:solidFill>
                </w14:textFill>
              </w:rPr>
              <w:t>和回</w:t>
            </w:r>
            <w:r>
              <w:rPr>
                <w:rFonts w:hint="eastAsia" w:ascii="宋体" w:hAnsi="宋体" w:cs="仿宋"/>
                <w:color w:val="000000" w:themeColor="text1"/>
                <w14:textFill>
                  <w14:solidFill>
                    <w14:schemeClr w14:val="tx1"/>
                  </w14:solidFill>
                </w14:textFill>
              </w:rPr>
              <w:t>退</w:t>
            </w:r>
            <w:r>
              <w:rPr>
                <w:rFonts w:ascii="宋体" w:hAnsi="宋体" w:cs="仿宋"/>
                <w:color w:val="000000" w:themeColor="text1"/>
                <w14:textFill>
                  <w14:solidFill>
                    <w14:schemeClr w14:val="tx1"/>
                  </w14:solidFill>
                </w14:textFill>
              </w:rPr>
              <w:t>方案</w:t>
            </w:r>
            <w:r>
              <w:rPr>
                <w:rFonts w:hint="eastAsia" w:ascii="宋体" w:hAnsi="宋体" w:cs="仿宋"/>
                <w:color w:val="000000" w:themeColor="text1"/>
                <w14:textFill>
                  <w14:solidFill>
                    <w14:schemeClr w14:val="tx1"/>
                  </w14:solidFill>
                </w14:textFill>
              </w:rPr>
              <w:t>的</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扣1分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r>
              <w:rPr>
                <w:rFonts w:ascii="宋体" w:hAnsi="宋体" w:cs="仿宋"/>
                <w:color w:val="000000" w:themeColor="text1"/>
                <w14:textFill>
                  <w14:solidFill>
                    <w14:schemeClr w14:val="tx1"/>
                  </w14:solidFill>
                </w14:textFill>
              </w:rPr>
              <w:t>）</w:t>
            </w:r>
          </w:p>
        </w:tc>
        <w:tc>
          <w:tcPr>
            <w:tcW w:w="433" w:type="pct"/>
          </w:tcPr>
          <w:p>
            <w:pPr>
              <w:snapToGrid w:val="0"/>
              <w:spacing w:line="300" w:lineRule="auto"/>
              <w:rPr>
                <w:rFonts w:ascii="宋体" w:hAnsi="宋体"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p>
        </w:tc>
        <w:tc>
          <w:tcPr>
            <w:tcW w:w="968"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产品质量</w:t>
            </w:r>
          </w:p>
        </w:tc>
        <w:tc>
          <w:tcPr>
            <w:tcW w:w="432"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ascii="宋体" w:hAnsi="宋体" w:cs="仿宋"/>
                <w:color w:val="000000" w:themeColor="text1"/>
                <w:szCs w:val="21"/>
                <w14:textFill>
                  <w14:solidFill>
                    <w14:schemeClr w14:val="tx1"/>
                  </w14:solidFill>
                </w14:textFill>
              </w:rPr>
              <w:t>20</w:t>
            </w:r>
          </w:p>
        </w:tc>
        <w:tc>
          <w:tcPr>
            <w:tcW w:w="2424" w:type="pct"/>
          </w:tcPr>
          <w:p>
            <w:pPr>
              <w:pStyle w:val="19"/>
              <w:numPr>
                <w:ilvl w:val="0"/>
                <w:numId w:val="31"/>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因产品质量导致发布渠道上得分低被集团通报的（扣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分/次）</w:t>
            </w:r>
          </w:p>
          <w:p>
            <w:pPr>
              <w:pStyle w:val="19"/>
              <w:numPr>
                <w:ilvl w:val="0"/>
                <w:numId w:val="31"/>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产品研发团队交付产品后，经招标人复测，根据问题严重等级，给予不同级别的扣分（严重问题：扣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项；普通问题：扣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项）；</w:t>
            </w:r>
            <w:r>
              <w:rPr>
                <w:rFonts w:ascii="宋体" w:hAnsi="宋体" w:cs="仿宋"/>
                <w:color w:val="000000" w:themeColor="text1"/>
                <w14:textFill>
                  <w14:solidFill>
                    <w14:schemeClr w14:val="tx1"/>
                  </w14:solidFill>
                </w14:textFill>
              </w:rPr>
              <w:t>严重问题未给出故障分析报告和改进方案的</w:t>
            </w:r>
            <w:r>
              <w:rPr>
                <w:rFonts w:hint="eastAsia" w:ascii="宋体" w:hAnsi="宋体" w:cs="仿宋"/>
                <w:color w:val="000000" w:themeColor="text1"/>
                <w14:textFill>
                  <w14:solidFill>
                    <w14:schemeClr w14:val="tx1"/>
                  </w14:solidFill>
                </w14:textFill>
              </w:rPr>
              <w:t>（扣</w:t>
            </w:r>
            <w:r>
              <w:rPr>
                <w:rFonts w:ascii="宋体" w:hAnsi="宋体" w:cs="仿宋"/>
                <w:color w:val="000000" w:themeColor="text1"/>
                <w14:textFill>
                  <w14:solidFill>
                    <w14:schemeClr w14:val="tx1"/>
                  </w14:solidFill>
                </w14:textFill>
              </w:rPr>
              <w:t>3</w:t>
            </w:r>
            <w:r>
              <w:rPr>
                <w:rFonts w:hint="eastAsia" w:ascii="宋体" w:hAnsi="宋体" w:cs="仿宋"/>
                <w:color w:val="000000" w:themeColor="text1"/>
                <w14:textFill>
                  <w14:solidFill>
                    <w14:schemeClr w14:val="tx1"/>
                  </w14:solidFill>
                </w14:textFill>
              </w:rPr>
              <w:t>分/次</w:t>
            </w:r>
            <w:r>
              <w:rPr>
                <w:rFonts w:ascii="宋体" w:hAnsi="宋体" w:cs="仿宋"/>
                <w:color w:val="000000" w:themeColor="text1"/>
                <w14:textFill>
                  <w14:solidFill>
                    <w14:schemeClr w14:val="tx1"/>
                  </w14:solidFill>
                </w14:textFill>
              </w:rPr>
              <w:t>）</w:t>
            </w:r>
          </w:p>
          <w:p>
            <w:pPr>
              <w:pStyle w:val="19"/>
              <w:numPr>
                <w:ilvl w:val="0"/>
                <w:numId w:val="31"/>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用户由于相应的产品错误或故障产生投诉（扣2分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tc>
        <w:tc>
          <w:tcPr>
            <w:tcW w:w="433" w:type="pct"/>
          </w:tcPr>
          <w:p>
            <w:pPr>
              <w:snapToGrid w:val="0"/>
              <w:spacing w:line="300" w:lineRule="auto"/>
              <w:rPr>
                <w:rFonts w:ascii="宋体" w:hAnsi="宋体"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restar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技术支撑保障得分（5</w:t>
            </w:r>
            <w:r>
              <w:rPr>
                <w:rFonts w:ascii="宋体" w:hAnsi="宋体" w:cs="仿宋"/>
                <w:color w:val="000000" w:themeColor="text1"/>
                <w:szCs w:val="21"/>
                <w14:textFill>
                  <w14:solidFill>
                    <w14:schemeClr w14:val="tx1"/>
                  </w14:solidFill>
                </w14:textFill>
              </w:rPr>
              <w:t>0</w:t>
            </w:r>
            <w:r>
              <w:rPr>
                <w:rFonts w:hint="eastAsia" w:ascii="宋体" w:hAnsi="宋体" w:cs="仿宋"/>
                <w:color w:val="000000" w:themeColor="text1"/>
                <w:szCs w:val="21"/>
                <w14:textFill>
                  <w14:solidFill>
                    <w14:schemeClr w14:val="tx1"/>
                  </w14:solidFill>
                </w14:textFill>
              </w:rPr>
              <w:t>分）</w:t>
            </w:r>
          </w:p>
        </w:tc>
        <w:tc>
          <w:tcPr>
            <w:tcW w:w="968"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支撑保障</w:t>
            </w:r>
          </w:p>
        </w:tc>
        <w:tc>
          <w:tcPr>
            <w:tcW w:w="432"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ascii="宋体" w:hAnsi="宋体" w:cs="仿宋"/>
                <w:color w:val="000000" w:themeColor="text1"/>
                <w:szCs w:val="21"/>
                <w14:textFill>
                  <w14:solidFill>
                    <w14:schemeClr w14:val="tx1"/>
                  </w14:solidFill>
                </w14:textFill>
              </w:rPr>
              <w:t>20</w:t>
            </w:r>
          </w:p>
        </w:tc>
        <w:tc>
          <w:tcPr>
            <w:tcW w:w="2424" w:type="pct"/>
          </w:tcPr>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未按招标人要求的数量安排驻点人员（扣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人）；未经招标人同意变更项目人员（扣2分/次）；</w:t>
            </w:r>
          </w:p>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未按招标人管理人员要求更换项目组成员（扣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分/次）；</w:t>
            </w:r>
          </w:p>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若项目组人员由于资质、能力、工作态度、服务水平等方面不足，导致招标人管理人员投诉（扣2分/次）</w:t>
            </w:r>
          </w:p>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未能按照要求快速完善的故障发现、响应、解除机制，确保系统故障对系统的影响尽可能小（扣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故障未在约定时间内解决（扣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未及时对数据进行备份（扣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次）</w:t>
            </w:r>
          </w:p>
          <w:p>
            <w:pPr>
              <w:pStyle w:val="19"/>
              <w:numPr>
                <w:ilvl w:val="0"/>
                <w:numId w:val="32"/>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数据提取与分析结果未在要求时间内提交（扣</w:t>
            </w:r>
            <w:r>
              <w:rPr>
                <w:rFonts w:ascii="宋体" w:hAnsi="宋体" w:cs="仿宋"/>
                <w:color w:val="000000" w:themeColor="text1"/>
                <w14:textFill>
                  <w14:solidFill>
                    <w14:schemeClr w14:val="tx1"/>
                  </w14:solidFill>
                </w14:textFill>
              </w:rPr>
              <w:t>1</w:t>
            </w:r>
            <w:r>
              <w:rPr>
                <w:rFonts w:hint="eastAsia" w:ascii="宋体" w:hAnsi="宋体" w:cs="仿宋"/>
                <w:color w:val="000000" w:themeColor="text1"/>
                <w14:textFill>
                  <w14:solidFill>
                    <w14:schemeClr w14:val="tx1"/>
                  </w14:solidFill>
                </w14:textFill>
              </w:rPr>
              <w:t>分</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天）</w:t>
            </w:r>
          </w:p>
        </w:tc>
        <w:tc>
          <w:tcPr>
            <w:tcW w:w="433" w:type="pct"/>
          </w:tcPr>
          <w:p>
            <w:pPr>
              <w:snapToGrid w:val="0"/>
              <w:spacing w:line="300" w:lineRule="auto"/>
              <w:rPr>
                <w:rFonts w:ascii="宋体" w:hAnsi="宋体"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pct"/>
            <w:vMerge w:val="continue"/>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p>
        </w:tc>
        <w:tc>
          <w:tcPr>
            <w:tcW w:w="968"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安全保障</w:t>
            </w:r>
          </w:p>
        </w:tc>
        <w:tc>
          <w:tcPr>
            <w:tcW w:w="432" w:type="pct"/>
            <w:vAlign w:val="center"/>
          </w:tcPr>
          <w:p>
            <w:pPr>
              <w:snapToGrid w:val="0"/>
              <w:spacing w:line="300" w:lineRule="auto"/>
              <w:jc w:val="center"/>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w:t>
            </w:r>
            <w:r>
              <w:rPr>
                <w:rFonts w:ascii="宋体" w:hAnsi="宋体" w:cs="仿宋"/>
                <w:color w:val="000000" w:themeColor="text1"/>
                <w:szCs w:val="21"/>
                <w14:textFill>
                  <w14:solidFill>
                    <w14:schemeClr w14:val="tx1"/>
                  </w14:solidFill>
                </w14:textFill>
              </w:rPr>
              <w:t>0</w:t>
            </w:r>
          </w:p>
        </w:tc>
        <w:tc>
          <w:tcPr>
            <w:tcW w:w="2424" w:type="pct"/>
          </w:tcPr>
          <w:p>
            <w:pPr>
              <w:pStyle w:val="19"/>
              <w:numPr>
                <w:ilvl w:val="0"/>
                <w:numId w:val="33"/>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出现被工信部、公安部等部委通报的安全漏洞（扣5分/次）</w:t>
            </w:r>
          </w:p>
          <w:p>
            <w:pPr>
              <w:pStyle w:val="19"/>
              <w:numPr>
                <w:ilvl w:val="0"/>
                <w:numId w:val="33"/>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出现被中国移动集团通报的安全漏洞（扣2分/次）</w:t>
            </w:r>
          </w:p>
          <w:p>
            <w:pPr>
              <w:pStyle w:val="19"/>
              <w:numPr>
                <w:ilvl w:val="0"/>
                <w:numId w:val="33"/>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未按照招标人要求配合相关安全工作的，造成不良影响（扣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分/次）</w:t>
            </w:r>
          </w:p>
          <w:p>
            <w:pPr>
              <w:pStyle w:val="19"/>
              <w:numPr>
                <w:ilvl w:val="0"/>
                <w:numId w:val="33"/>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未按照招标人安全相关管理办法操作的（扣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分/次）</w:t>
            </w:r>
          </w:p>
          <w:p>
            <w:pPr>
              <w:pStyle w:val="19"/>
              <w:numPr>
                <w:ilvl w:val="0"/>
                <w:numId w:val="33"/>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未在要求时间内修复的安全漏洞（扣</w:t>
            </w:r>
            <w:r>
              <w:rPr>
                <w:rFonts w:ascii="宋体" w:hAnsi="宋体" w:cs="仿宋"/>
                <w:color w:val="000000" w:themeColor="text1"/>
                <w14:textFill>
                  <w14:solidFill>
                    <w14:schemeClr w14:val="tx1"/>
                  </w14:solidFill>
                </w14:textFill>
              </w:rPr>
              <w:t>2</w:t>
            </w:r>
            <w:r>
              <w:rPr>
                <w:rFonts w:hint="eastAsia" w:ascii="宋体" w:hAnsi="宋体" w:cs="仿宋"/>
                <w:color w:val="000000" w:themeColor="text1"/>
                <w14:textFill>
                  <w14:solidFill>
                    <w14:schemeClr w14:val="tx1"/>
                  </w14:solidFill>
                </w14:textFill>
              </w:rPr>
              <w:t>分/次）</w:t>
            </w:r>
          </w:p>
          <w:p>
            <w:pPr>
              <w:pStyle w:val="19"/>
              <w:numPr>
                <w:ilvl w:val="0"/>
                <w:numId w:val="33"/>
              </w:numPr>
              <w:snapToGrid w:val="0"/>
              <w:spacing w:line="300" w:lineRule="auto"/>
              <w:ind w:firstLineChars="0"/>
              <w:rPr>
                <w:rFonts w:ascii="宋体" w:hAnsi="宋体" w:cs="仿宋"/>
                <w:color w:val="000000" w:themeColor="text1"/>
                <w14:textFill>
                  <w14:solidFill>
                    <w14:schemeClr w14:val="tx1"/>
                  </w14:solidFill>
                </w14:textFill>
              </w:rPr>
            </w:pPr>
            <w:r>
              <w:rPr>
                <w:rFonts w:hint="eastAsia" w:ascii="宋体" w:hAnsi="宋体" w:cs="仿宋"/>
                <w:color w:val="000000" w:themeColor="text1"/>
                <w14:textFill>
                  <w14:solidFill>
                    <w14:schemeClr w14:val="tx1"/>
                  </w14:solidFill>
                </w14:textFill>
              </w:rPr>
              <w:t>未制定信息安全管理制度并指定安全责任人</w:t>
            </w:r>
            <w:r>
              <w:rPr>
                <w:rFonts w:ascii="宋体" w:hAnsi="宋体" w:cs="仿宋"/>
                <w:color w:val="000000" w:themeColor="text1"/>
                <w14:textFill>
                  <w14:solidFill>
                    <w14:schemeClr w14:val="tx1"/>
                  </w14:solidFill>
                </w14:textFill>
              </w:rPr>
              <w:t>(</w:t>
            </w:r>
            <w:r>
              <w:rPr>
                <w:rFonts w:hint="eastAsia" w:ascii="宋体" w:hAnsi="宋体" w:cs="仿宋"/>
                <w:color w:val="000000" w:themeColor="text1"/>
                <w14:textFill>
                  <w14:solidFill>
                    <w14:schemeClr w14:val="tx1"/>
                  </w14:solidFill>
                </w14:textFill>
              </w:rPr>
              <w:t>扣2分</w:t>
            </w:r>
            <w:r>
              <w:rPr>
                <w:rFonts w:ascii="宋体" w:hAnsi="宋体" w:cs="仿宋"/>
                <w:color w:val="000000" w:themeColor="text1"/>
                <w14:textFill>
                  <w14:solidFill>
                    <w14:schemeClr w14:val="tx1"/>
                  </w14:solidFill>
                </w14:textFill>
              </w:rPr>
              <w:t>)</w:t>
            </w:r>
          </w:p>
        </w:tc>
        <w:tc>
          <w:tcPr>
            <w:tcW w:w="433" w:type="pct"/>
          </w:tcPr>
          <w:p>
            <w:pPr>
              <w:snapToGrid w:val="0"/>
              <w:spacing w:line="300" w:lineRule="auto"/>
              <w:rPr>
                <w:rFonts w:ascii="宋体" w:hAnsi="宋体" w:cs="仿宋"/>
                <w:color w:val="000000" w:themeColor="text1"/>
                <w:szCs w:val="21"/>
                <w14:textFill>
                  <w14:solidFill>
                    <w14:schemeClr w14:val="tx1"/>
                  </w14:solidFill>
                </w14:textFill>
              </w:rPr>
            </w:pPr>
          </w:p>
        </w:tc>
      </w:tr>
    </w:tbl>
    <w:p>
      <w:pPr>
        <w:rPr>
          <w:rFonts w:ascii="宋体" w:hAnsi="宋体"/>
          <w:color w:val="000000" w:themeColor="text1"/>
          <w14:textFill>
            <w14:solidFill>
              <w14:schemeClr w14:val="tx1"/>
            </w14:solidFill>
          </w14:textFill>
        </w:rPr>
      </w:pPr>
    </w:p>
    <w:p>
      <w:pPr>
        <w:spacing w:line="360" w:lineRule="auto"/>
        <w:jc w:val="center"/>
        <w:rPr>
          <w:rFonts w:ascii="宋体" w:hAnsi="宋体"/>
          <w:color w:val="000000" w:themeColor="text1"/>
          <w:sz w:val="21"/>
          <w:szCs w:val="18"/>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终验</w:t>
      </w:r>
      <w:r>
        <w:rPr>
          <w:rFonts w:ascii="宋体" w:hAnsi="宋体"/>
          <w:color w:val="000000" w:themeColor="text1"/>
          <w:sz w:val="21"/>
          <w:szCs w:val="21"/>
          <w14:textFill>
            <w14:solidFill>
              <w14:schemeClr w14:val="tx1"/>
            </w14:solidFill>
          </w14:textFill>
        </w:rPr>
        <w:t>评分及支付原则</w:t>
      </w:r>
    </w:p>
    <w:tbl>
      <w:tblPr>
        <w:tblStyle w:val="12"/>
        <w:tblW w:w="7870"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5"/>
        <w:gridCol w:w="4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终</w:t>
            </w:r>
            <w:r>
              <w:rPr>
                <w:rFonts w:ascii="宋体" w:hAnsi="宋体"/>
                <w:color w:val="000000" w:themeColor="text1"/>
                <w:sz w:val="21"/>
                <w:szCs w:val="21"/>
                <w14:textFill>
                  <w14:solidFill>
                    <w14:schemeClr w14:val="tx1"/>
                  </w14:solidFill>
                </w14:textFill>
              </w:rPr>
              <w:t>验得分</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结算比例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90分（含）及以上</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60</w:t>
            </w:r>
            <w:r>
              <w:rPr>
                <w:rFonts w:hint="eastAsia" w:ascii="宋体" w:hAnsi="宋体"/>
                <w:color w:val="000000" w:themeColor="text1"/>
                <w:sz w:val="21"/>
                <w:szCs w:val="21"/>
                <w14:textFill>
                  <w14:solidFill>
                    <w14:schemeClr w14:val="tx1"/>
                  </w14:solidFill>
                </w14:textFill>
              </w:rPr>
              <w:t>（含）</w:t>
            </w:r>
            <w:r>
              <w:rPr>
                <w:rFonts w:ascii="宋体" w:hAnsi="宋体"/>
                <w:color w:val="000000" w:themeColor="text1"/>
                <w:sz w:val="21"/>
                <w:szCs w:val="21"/>
                <w14:textFill>
                  <w14:solidFill>
                    <w14:schemeClr w14:val="tx1"/>
                  </w14:solidFill>
                </w14:textFill>
              </w:rPr>
              <w:t>分-90（不含）分</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245" w:leftChars="-277"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线性结算</w:t>
            </w:r>
            <w:r>
              <w:rPr>
                <w:rFonts w:hint="eastAsia" w:ascii="宋体" w:hAnsi="宋体"/>
                <w:color w:val="000000" w:themeColor="text1"/>
                <w:sz w:val="21"/>
                <w:szCs w:val="21"/>
                <w14:textFill>
                  <w14:solidFill>
                    <w14:schemeClr w14:val="tx1"/>
                  </w14:solidFill>
                </w14:textFill>
              </w:rPr>
              <w:t>（60分（含）-90（不含））分段，结算金额=终验金额*得分/100）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60分以下</w:t>
            </w:r>
          </w:p>
        </w:tc>
        <w:tc>
          <w:tcPr>
            <w:tcW w:w="418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ind w:left="420" w:hanging="420" w:hangingChars="200"/>
              <w:jc w:val="center"/>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验收不通过，不予结算</w:t>
            </w:r>
          </w:p>
        </w:tc>
      </w:tr>
    </w:tbl>
    <w:p>
      <w:pPr>
        <w:pStyle w:val="35"/>
        <w:ind w:left="360" w:right="840" w:firstLine="0" w:firstLineChars="0"/>
        <w:jc w:val="center"/>
        <w:rPr>
          <w:rFonts w:ascii="宋体" w:hAnsi="宋体"/>
          <w:color w:val="000000" w:themeColor="text1"/>
          <w14:textFill>
            <w14:solidFill>
              <w14:schemeClr w14:val="tx1"/>
            </w14:solidFill>
          </w14:textFill>
        </w:rPr>
      </w:pPr>
    </w:p>
    <w:p>
      <w:pPr>
        <w:pStyle w:val="35"/>
        <w:ind w:left="360" w:right="840" w:firstLine="0" w:firstLineChars="0"/>
        <w:jc w:val="left"/>
        <w:rPr>
          <w:rFonts w:ascii="宋体" w:hAnsi="宋体"/>
          <w:color w:val="000000" w:themeColor="text1"/>
          <w:sz w:val="21"/>
          <w:szCs w:val="21"/>
          <w14:textFill>
            <w14:solidFill>
              <w14:schemeClr w14:val="tx1"/>
            </w14:solidFill>
          </w14:textFill>
        </w:rPr>
      </w:pPr>
    </w:p>
    <w:p>
      <w:pPr>
        <w:pStyle w:val="3"/>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团队人员要求</w:t>
      </w:r>
    </w:p>
    <w:p>
      <w:pPr>
        <w:pStyle w:val="4"/>
        <w:numPr>
          <w:ilvl w:val="1"/>
          <w:numId w:val="34"/>
        </w:numPr>
        <w:snapToGrid w:val="0"/>
        <w:spacing w:line="360" w:lineRule="auto"/>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项目团队</w:t>
      </w:r>
    </w:p>
    <w:p>
      <w:pPr>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w:t>
      </w:r>
      <w:r>
        <w:rPr>
          <w:rFonts w:ascii="宋体" w:hAnsi="宋体"/>
          <w:color w:val="000000" w:themeColor="text1"/>
          <w:sz w:val="21"/>
          <w:szCs w:val="21"/>
          <w14:textFill>
            <w14:solidFill>
              <w14:schemeClr w14:val="tx1"/>
            </w14:solidFill>
          </w14:textFill>
        </w:rPr>
        <w:t>人需为本标包</w:t>
      </w:r>
      <w:r>
        <w:rPr>
          <w:rFonts w:hint="eastAsia" w:ascii="宋体" w:hAnsi="宋体"/>
          <w:color w:val="000000" w:themeColor="text1"/>
          <w:sz w:val="21"/>
          <w:szCs w:val="21"/>
          <w14:textFill>
            <w14:solidFill>
              <w14:schemeClr w14:val="tx1"/>
            </w14:solidFill>
          </w14:textFill>
        </w:rPr>
        <w:t>配备足够的团队成员以保证项目保质保量按期完成，其中：</w:t>
      </w:r>
    </w:p>
    <w:p>
      <w:pPr>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项目经理1人，学历要求本科及以上，证书要求具有PMP，经验要求5年及以上工作经验；</w:t>
      </w:r>
    </w:p>
    <w:p>
      <w:pPr>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技术负责人1人，学历要求本科及以上，证书要求具有信息系统项目管理师证书或系统集成项目管理工程师证书，经验要求5年及以上工作经验；</w:t>
      </w:r>
    </w:p>
    <w:p>
      <w:pPr>
        <w:spacing w:line="360" w:lineRule="auto"/>
        <w:ind w:firstLine="420" w:firstLineChars="200"/>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团队成员5人，学历要求本科及以上，经验要求3年及以上工作经验。</w:t>
      </w:r>
    </w:p>
    <w:p>
      <w:pPr>
        <w:pStyle w:val="4"/>
        <w:numPr>
          <w:ilvl w:val="1"/>
          <w:numId w:val="34"/>
        </w:numPr>
        <w:snapToGrid w:val="0"/>
        <w:spacing w:line="360" w:lineRule="auto"/>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其他要求</w:t>
      </w:r>
    </w:p>
    <w:p>
      <w:pPr>
        <w:numPr>
          <w:ilvl w:val="0"/>
          <w:numId w:val="35"/>
        </w:numPr>
        <w:snapToGrid w:val="0"/>
        <w:spacing w:line="360" w:lineRule="auto"/>
        <w:ind w:left="0" w:firstLine="425"/>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投标人应根据招标人的具体需求和实际进度需求进行倒排工期的项目组织与人员安排，全力保证软件功能建设的顺利进行；</w:t>
      </w:r>
    </w:p>
    <w:p>
      <w:pPr>
        <w:numPr>
          <w:ilvl w:val="0"/>
          <w:numId w:val="35"/>
        </w:numPr>
        <w:snapToGrid w:val="0"/>
        <w:spacing w:line="360" w:lineRule="auto"/>
        <w:ind w:left="0" w:firstLine="425"/>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投标人应成立专门的项目实施小组，小组负责人需要对项目各个阶段的工作进行协调和组织，小组的负责人和相关设计人员均需要明确到人；</w:t>
      </w:r>
    </w:p>
    <w:p>
      <w:pPr>
        <w:numPr>
          <w:ilvl w:val="0"/>
          <w:numId w:val="35"/>
        </w:numPr>
        <w:snapToGrid w:val="0"/>
        <w:spacing w:line="360" w:lineRule="auto"/>
        <w:ind w:left="0" w:firstLine="425"/>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投标人应提供项目组所有成员的联系电话以及邮箱地址；</w:t>
      </w:r>
    </w:p>
    <w:p>
      <w:pPr>
        <w:numPr>
          <w:ilvl w:val="0"/>
          <w:numId w:val="35"/>
        </w:numPr>
        <w:snapToGrid w:val="0"/>
        <w:spacing w:line="360" w:lineRule="auto"/>
        <w:ind w:left="0" w:firstLine="425"/>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投标人应定期进行项目组内部会议确认项目进度，并由项目组负责人向招标人提交项目进度报告；</w:t>
      </w:r>
    </w:p>
    <w:p>
      <w:pPr>
        <w:numPr>
          <w:ilvl w:val="0"/>
          <w:numId w:val="35"/>
        </w:numPr>
        <w:snapToGrid w:val="0"/>
        <w:spacing w:line="360" w:lineRule="auto"/>
        <w:ind w:left="0" w:firstLine="425"/>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投标人项目组人员一旦经过招标人确认，成员的退出需由投标人向招标人申请，由招标人确认才可执行；</w:t>
      </w:r>
    </w:p>
    <w:p>
      <w:pPr>
        <w:numPr>
          <w:ilvl w:val="0"/>
          <w:numId w:val="35"/>
        </w:numPr>
        <w:snapToGrid w:val="0"/>
        <w:spacing w:line="360" w:lineRule="auto"/>
        <w:ind w:left="0" w:firstLine="425"/>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投标人应明确需要由招标人提供的资料和需要配合的内容。</w:t>
      </w:r>
    </w:p>
    <w:p>
      <w:pPr>
        <w:pStyle w:val="3"/>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知识产权要求</w:t>
      </w:r>
    </w:p>
    <w:p>
      <w:pPr>
        <w:spacing w:line="360" w:lineRule="auto"/>
        <w:ind w:firstLine="422" w:firstLineChars="200"/>
        <w:rPr>
          <w:rFonts w:ascii="宋体" w:hAns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w:t>
      </w:r>
      <w:r>
        <w:rPr>
          <w:rFonts w:ascii="宋体" w:hAnsi="宋体" w:cs="宋体"/>
          <w:b/>
          <w:color w:val="000000" w:themeColor="text1"/>
          <w:kern w:val="0"/>
          <w:sz w:val="21"/>
          <w:szCs w:val="21"/>
          <w14:textFill>
            <w14:solidFill>
              <w14:schemeClr w14:val="tx1"/>
            </w14:solidFill>
          </w14:textFill>
        </w:rPr>
        <w:t>7.1投标人应就所涉背景知识产权给予招标人不可转让的、永久的、不可撤销的、世界范围内的、免费的、拥有分许可权的许可，但所述许可仅限于招标人或招标人许可的第三方为商业利用本项目所产生的开发成果所必须。</w:t>
      </w:r>
    </w:p>
    <w:p>
      <w:pPr>
        <w:spacing w:line="360" w:lineRule="auto"/>
        <w:ind w:firstLine="422" w:firstLineChars="200"/>
        <w:rPr>
          <w:rFonts w:ascii="宋体" w:hAnsi="宋体" w:cs="宋体"/>
          <w:b/>
          <w:color w:val="000000" w:themeColor="text1"/>
          <w:kern w:val="0"/>
          <w:sz w:val="21"/>
          <w:szCs w:val="21"/>
          <w14:textFill>
            <w14:solidFill>
              <w14:schemeClr w14:val="tx1"/>
            </w14:solidFill>
          </w14:textFill>
        </w:rPr>
      </w:pPr>
      <w:r>
        <w:rPr>
          <w:rFonts w:hint="eastAsia" w:ascii="宋体" w:hAnsi="宋体" w:cs="宋体"/>
          <w:b/>
          <w:color w:val="000000" w:themeColor="text1"/>
          <w:kern w:val="0"/>
          <w:sz w:val="21"/>
          <w:szCs w:val="21"/>
          <w14:textFill>
            <w14:solidFill>
              <w14:schemeClr w14:val="tx1"/>
            </w14:solidFill>
          </w14:textFill>
        </w:rPr>
        <w:t>※</w:t>
      </w:r>
      <w:r>
        <w:rPr>
          <w:rFonts w:ascii="宋体" w:hAnsi="宋体" w:cs="宋体"/>
          <w:b/>
          <w:color w:val="000000" w:themeColor="text1"/>
          <w:kern w:val="0"/>
          <w:sz w:val="21"/>
          <w:szCs w:val="21"/>
          <w14:textFill>
            <w14:solidFill>
              <w14:schemeClr w14:val="tx1"/>
            </w14:solidFill>
          </w14:textFill>
        </w:rPr>
        <w:t>7.2本项目所产生的前景知识产权，包括但不限于版权、专利权、专利申请权、技术秘密，归招标人所有，投标人不得私自以自己或第三人名义提出权利申请、注册或备案等。</w:t>
      </w:r>
    </w:p>
    <w:p>
      <w:pPr>
        <w:pStyle w:val="3"/>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保密要求</w:t>
      </w:r>
    </w:p>
    <w:p>
      <w:pPr>
        <w:pStyle w:val="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保密范围</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秘密信息指投标人从招标人获得的有关招标人的技术、业务、客户、发展等属于招标人或对招标人有商业或技术影响的所有信息。秘密信息包括但不限于有关商业秘密、电脑程序、设计技术、商业想法、专有技术、工艺、数据、业务和产品开发计划等，与招标人业务有关的客户的信息及其它信息，或招标人从他方收到的保密信息。</w:t>
      </w:r>
    </w:p>
    <w:p>
      <w:pPr>
        <w:pStyle w:val="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保密期限</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从投标人接到本文件起，即须对招标人的秘密信息（包括本文件）进行保密。只要接受本文件即认为自动同意本保密协议。</w:t>
      </w:r>
    </w:p>
    <w:p>
      <w:pPr>
        <w:pStyle w:val="4"/>
        <w:rPr>
          <w:rFonts w:ascii="宋体" w:hAnsi="宋体"/>
          <w:color w:val="000000" w:themeColor="text1"/>
          <w:lang w:eastAsia="zh-CN"/>
          <w14:textFill>
            <w14:solidFill>
              <w14:schemeClr w14:val="tx1"/>
            </w14:solidFill>
          </w14:textFill>
        </w:rPr>
      </w:pPr>
      <w:r>
        <w:rPr>
          <w:rFonts w:ascii="宋体" w:hAnsi="宋体"/>
          <w:color w:val="000000" w:themeColor="text1"/>
          <w:lang w:eastAsia="zh-CN"/>
          <w14:textFill>
            <w14:solidFill>
              <w14:schemeClr w14:val="tx1"/>
            </w14:solidFill>
          </w14:textFill>
        </w:rPr>
        <w:t>本条款构成独立的保密协议</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不论投标人中标与否，本条款所约定的投标人义务始终有效。特别要求，投标人的员工在离职后对招标人保密信息的侵犯仍由投标人负责。</w:t>
      </w:r>
    </w:p>
    <w:p>
      <w:pPr>
        <w:snapToGrid w:val="0"/>
        <w:spacing w:line="360" w:lineRule="auto"/>
        <w:ind w:firstLine="420" w:firstLineChars="200"/>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本条款的效力在全部秘密信息的秘密性全部丧失时中止。</w:t>
      </w:r>
    </w:p>
    <w:p>
      <w:pPr>
        <w:pStyle w:val="3"/>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其他要求</w:t>
      </w:r>
    </w:p>
    <w:p>
      <w:pPr>
        <w:pStyle w:val="4"/>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※转包、分包</w:t>
      </w:r>
    </w:p>
    <w:p>
      <w:pPr>
        <w:snapToGrid w:val="0"/>
        <w:spacing w:line="360" w:lineRule="auto"/>
        <w:ind w:firstLine="422" w:firstLineChars="200"/>
        <w:rPr>
          <w:rFonts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投标人须承诺中标后不得将本项目部分或全部服务内容转包、分包给第三方承担，否则将由投标人承担全部经济和法律责任。</w:t>
      </w:r>
    </w:p>
    <w:p>
      <w:pPr>
        <w:pStyle w:val="4"/>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※源代码</w:t>
      </w:r>
    </w:p>
    <w:p>
      <w:pPr>
        <w:snapToGrid w:val="0"/>
        <w:spacing w:line="360" w:lineRule="auto"/>
        <w:ind w:firstLine="422" w:firstLineChars="200"/>
        <w:rPr>
          <w:rFonts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投标人需承诺中标后向招标人提供本项目过程产生的全部源代码，且提供代码移交培训，保证招标人技术人员掌握代码并可二次开发和发布。</w:t>
      </w:r>
    </w:p>
    <w:sectPr>
      <w:headerReference r:id="rId3" w:type="default"/>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DDF28"/>
    <w:multiLevelType w:val="singleLevel"/>
    <w:tmpl w:val="87FDDF28"/>
    <w:lvl w:ilvl="0" w:tentative="0">
      <w:start w:val="1"/>
      <w:numFmt w:val="decimal"/>
      <w:suff w:val="space"/>
      <w:lvlText w:val="%1."/>
      <w:lvlJc w:val="left"/>
    </w:lvl>
  </w:abstractNum>
  <w:abstractNum w:abstractNumId="1">
    <w:nsid w:val="9BFF8014"/>
    <w:multiLevelType w:val="singleLevel"/>
    <w:tmpl w:val="9BFF8014"/>
    <w:lvl w:ilvl="0" w:tentative="0">
      <w:start w:val="1"/>
      <w:numFmt w:val="decimal"/>
      <w:lvlText w:val="%1."/>
      <w:lvlJc w:val="left"/>
      <w:pPr>
        <w:tabs>
          <w:tab w:val="left" w:pos="425"/>
        </w:tabs>
        <w:ind w:left="425" w:hanging="425"/>
      </w:pPr>
      <w:rPr>
        <w:rFonts w:hint="default"/>
      </w:rPr>
    </w:lvl>
  </w:abstractNum>
  <w:abstractNum w:abstractNumId="2">
    <w:nsid w:val="9D7CF4CF"/>
    <w:multiLevelType w:val="singleLevel"/>
    <w:tmpl w:val="9D7CF4CF"/>
    <w:lvl w:ilvl="0" w:tentative="0">
      <w:start w:val="1"/>
      <w:numFmt w:val="decimal"/>
      <w:suff w:val="space"/>
      <w:lvlText w:val="%1."/>
      <w:lvlJc w:val="left"/>
    </w:lvl>
  </w:abstractNum>
  <w:abstractNum w:abstractNumId="3">
    <w:nsid w:val="A598ACB4"/>
    <w:multiLevelType w:val="singleLevel"/>
    <w:tmpl w:val="A598ACB4"/>
    <w:lvl w:ilvl="0" w:tentative="0">
      <w:start w:val="1"/>
      <w:numFmt w:val="decimal"/>
      <w:lvlText w:val="%1."/>
      <w:lvlJc w:val="left"/>
      <w:pPr>
        <w:tabs>
          <w:tab w:val="left" w:pos="420"/>
        </w:tabs>
        <w:ind w:left="845" w:hanging="425"/>
      </w:pPr>
      <w:rPr>
        <w:rFonts w:hint="default"/>
      </w:rPr>
    </w:lvl>
  </w:abstractNum>
  <w:abstractNum w:abstractNumId="4">
    <w:nsid w:val="A8F1DECA"/>
    <w:multiLevelType w:val="singleLevel"/>
    <w:tmpl w:val="A8F1DECA"/>
    <w:lvl w:ilvl="0" w:tentative="0">
      <w:start w:val="1"/>
      <w:numFmt w:val="decimal"/>
      <w:lvlText w:val="%1."/>
      <w:lvlJc w:val="left"/>
      <w:pPr>
        <w:ind w:left="425" w:hanging="425"/>
      </w:pPr>
      <w:rPr>
        <w:rFonts w:hint="default"/>
      </w:rPr>
    </w:lvl>
  </w:abstractNum>
  <w:abstractNum w:abstractNumId="5">
    <w:nsid w:val="AB79BE3C"/>
    <w:multiLevelType w:val="singleLevel"/>
    <w:tmpl w:val="AB79BE3C"/>
    <w:lvl w:ilvl="0" w:tentative="0">
      <w:start w:val="1"/>
      <w:numFmt w:val="decimal"/>
      <w:lvlText w:val="%1."/>
      <w:lvlJc w:val="left"/>
      <w:pPr>
        <w:ind w:left="425" w:hanging="425"/>
      </w:pPr>
      <w:rPr>
        <w:rFonts w:hint="default"/>
      </w:rPr>
    </w:lvl>
  </w:abstractNum>
  <w:abstractNum w:abstractNumId="6">
    <w:nsid w:val="C61BC2A3"/>
    <w:multiLevelType w:val="singleLevel"/>
    <w:tmpl w:val="C61BC2A3"/>
    <w:lvl w:ilvl="0" w:tentative="0">
      <w:start w:val="1"/>
      <w:numFmt w:val="decimal"/>
      <w:suff w:val="space"/>
      <w:lvlText w:val="%1."/>
      <w:lvlJc w:val="left"/>
    </w:lvl>
  </w:abstractNum>
  <w:abstractNum w:abstractNumId="7">
    <w:nsid w:val="D76924B3"/>
    <w:multiLevelType w:val="singleLevel"/>
    <w:tmpl w:val="D76924B3"/>
    <w:lvl w:ilvl="0" w:tentative="0">
      <w:start w:val="1"/>
      <w:numFmt w:val="decimal"/>
      <w:suff w:val="space"/>
      <w:lvlText w:val="%1."/>
      <w:lvlJc w:val="left"/>
    </w:lvl>
  </w:abstractNum>
  <w:abstractNum w:abstractNumId="8">
    <w:nsid w:val="DD5603C4"/>
    <w:multiLevelType w:val="singleLevel"/>
    <w:tmpl w:val="DD5603C4"/>
    <w:lvl w:ilvl="0" w:tentative="0">
      <w:start w:val="1"/>
      <w:numFmt w:val="decimal"/>
      <w:lvlText w:val="%1."/>
      <w:lvlJc w:val="left"/>
      <w:pPr>
        <w:tabs>
          <w:tab w:val="left" w:pos="425"/>
        </w:tabs>
        <w:ind w:left="425" w:hanging="425"/>
      </w:pPr>
      <w:rPr>
        <w:rFonts w:hint="default"/>
      </w:rPr>
    </w:lvl>
  </w:abstractNum>
  <w:abstractNum w:abstractNumId="9">
    <w:nsid w:val="DED62F53"/>
    <w:multiLevelType w:val="multilevel"/>
    <w:tmpl w:val="DED62F53"/>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E669CAE7"/>
    <w:multiLevelType w:val="singleLevel"/>
    <w:tmpl w:val="E669CAE7"/>
    <w:lvl w:ilvl="0" w:tentative="0">
      <w:start w:val="1"/>
      <w:numFmt w:val="decimal"/>
      <w:lvlText w:val="%1."/>
      <w:lvlJc w:val="left"/>
      <w:pPr>
        <w:ind w:left="425" w:hanging="425"/>
      </w:pPr>
      <w:rPr>
        <w:rFonts w:hint="default"/>
      </w:rPr>
    </w:lvl>
  </w:abstractNum>
  <w:abstractNum w:abstractNumId="11">
    <w:nsid w:val="F3EBC76D"/>
    <w:multiLevelType w:val="singleLevel"/>
    <w:tmpl w:val="F3EBC76D"/>
    <w:lvl w:ilvl="0" w:tentative="0">
      <w:start w:val="1"/>
      <w:numFmt w:val="decimal"/>
      <w:suff w:val="space"/>
      <w:lvlText w:val="%1."/>
      <w:lvlJc w:val="left"/>
    </w:lvl>
  </w:abstractNum>
  <w:abstractNum w:abstractNumId="12">
    <w:nsid w:val="F7F32B51"/>
    <w:multiLevelType w:val="singleLevel"/>
    <w:tmpl w:val="F7F32B51"/>
    <w:lvl w:ilvl="0" w:tentative="0">
      <w:start w:val="1"/>
      <w:numFmt w:val="decimal"/>
      <w:lvlText w:val="%1."/>
      <w:lvlJc w:val="left"/>
      <w:pPr>
        <w:tabs>
          <w:tab w:val="left" w:pos="425"/>
        </w:tabs>
        <w:ind w:left="425" w:hanging="425"/>
      </w:pPr>
      <w:rPr>
        <w:rFonts w:hint="default"/>
      </w:rPr>
    </w:lvl>
  </w:abstractNum>
  <w:abstractNum w:abstractNumId="13">
    <w:nsid w:val="FD264228"/>
    <w:multiLevelType w:val="singleLevel"/>
    <w:tmpl w:val="FD264228"/>
    <w:lvl w:ilvl="0" w:tentative="0">
      <w:start w:val="1"/>
      <w:numFmt w:val="decimal"/>
      <w:lvlText w:val="%1."/>
      <w:lvlJc w:val="left"/>
      <w:pPr>
        <w:tabs>
          <w:tab w:val="left" w:pos="425"/>
        </w:tabs>
        <w:ind w:left="425" w:hanging="425"/>
      </w:pPr>
      <w:rPr>
        <w:rFonts w:hint="default"/>
      </w:rPr>
    </w:lvl>
  </w:abstractNum>
  <w:abstractNum w:abstractNumId="14">
    <w:nsid w:val="FE0DF078"/>
    <w:multiLevelType w:val="singleLevel"/>
    <w:tmpl w:val="FE0DF078"/>
    <w:lvl w:ilvl="0" w:tentative="0">
      <w:start w:val="1"/>
      <w:numFmt w:val="decimal"/>
      <w:lvlText w:val="%1."/>
      <w:lvlJc w:val="left"/>
      <w:pPr>
        <w:ind w:left="425" w:hanging="425"/>
      </w:pPr>
      <w:rPr>
        <w:rFonts w:hint="default"/>
      </w:rPr>
    </w:lvl>
  </w:abstractNum>
  <w:abstractNum w:abstractNumId="15">
    <w:nsid w:val="FEA5A6EB"/>
    <w:multiLevelType w:val="singleLevel"/>
    <w:tmpl w:val="FEA5A6EB"/>
    <w:lvl w:ilvl="0" w:tentative="0">
      <w:start w:val="1"/>
      <w:numFmt w:val="decimal"/>
      <w:lvlText w:val="%1."/>
      <w:lvlJc w:val="left"/>
      <w:pPr>
        <w:tabs>
          <w:tab w:val="left" w:pos="425"/>
        </w:tabs>
        <w:ind w:left="425" w:hanging="425"/>
      </w:pPr>
      <w:rPr>
        <w:rFonts w:hint="default"/>
      </w:rPr>
    </w:lvl>
  </w:abstractNum>
  <w:abstractNum w:abstractNumId="16">
    <w:nsid w:val="FFFEBA28"/>
    <w:multiLevelType w:val="singleLevel"/>
    <w:tmpl w:val="FFFEBA28"/>
    <w:lvl w:ilvl="0" w:tentative="0">
      <w:start w:val="1"/>
      <w:numFmt w:val="decimal"/>
      <w:lvlText w:val="%1."/>
      <w:lvlJc w:val="left"/>
      <w:pPr>
        <w:ind w:left="425" w:hanging="425"/>
      </w:pPr>
      <w:rPr>
        <w:rFonts w:hint="default"/>
      </w:rPr>
    </w:lvl>
  </w:abstractNum>
  <w:abstractNum w:abstractNumId="17">
    <w:nsid w:val="0FED6A51"/>
    <w:multiLevelType w:val="singleLevel"/>
    <w:tmpl w:val="0FED6A51"/>
    <w:lvl w:ilvl="0" w:tentative="0">
      <w:start w:val="1"/>
      <w:numFmt w:val="decimal"/>
      <w:lvlText w:val="%1."/>
      <w:lvlJc w:val="left"/>
      <w:pPr>
        <w:ind w:left="425" w:hanging="425"/>
      </w:pPr>
      <w:rPr>
        <w:rFonts w:hint="default"/>
      </w:rPr>
    </w:lvl>
  </w:abstractNum>
  <w:abstractNum w:abstractNumId="18">
    <w:nsid w:val="14C74300"/>
    <w:multiLevelType w:val="multilevel"/>
    <w:tmpl w:val="14C7430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5F6C45F"/>
    <w:multiLevelType w:val="singleLevel"/>
    <w:tmpl w:val="15F6C45F"/>
    <w:lvl w:ilvl="0" w:tentative="0">
      <w:start w:val="1"/>
      <w:numFmt w:val="decimal"/>
      <w:lvlText w:val="%1."/>
      <w:lvlJc w:val="left"/>
      <w:pPr>
        <w:tabs>
          <w:tab w:val="left" w:pos="420"/>
        </w:tabs>
        <w:ind w:left="845" w:hanging="425"/>
      </w:pPr>
      <w:rPr>
        <w:rFonts w:hint="default"/>
      </w:rPr>
    </w:lvl>
  </w:abstractNum>
  <w:abstractNum w:abstractNumId="20">
    <w:nsid w:val="1611301F"/>
    <w:multiLevelType w:val="multilevel"/>
    <w:tmpl w:val="1611301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7F4299B"/>
    <w:multiLevelType w:val="multilevel"/>
    <w:tmpl w:val="17F4299B"/>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1958020C"/>
    <w:multiLevelType w:val="singleLevel"/>
    <w:tmpl w:val="1958020C"/>
    <w:lvl w:ilvl="0" w:tentative="0">
      <w:start w:val="1"/>
      <w:numFmt w:val="decimal"/>
      <w:suff w:val="space"/>
      <w:lvlText w:val="%1."/>
      <w:lvlJc w:val="left"/>
    </w:lvl>
  </w:abstractNum>
  <w:abstractNum w:abstractNumId="23">
    <w:nsid w:val="1AA7D112"/>
    <w:multiLevelType w:val="multilevel"/>
    <w:tmpl w:val="1AA7D112"/>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4">
    <w:nsid w:val="27D12FD8"/>
    <w:multiLevelType w:val="multilevel"/>
    <w:tmpl w:val="27D12FD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2C085F89"/>
    <w:multiLevelType w:val="multilevel"/>
    <w:tmpl w:val="2C085F89"/>
    <w:lvl w:ilvl="0" w:tentative="0">
      <w:start w:val="1"/>
      <w:numFmt w:val="chineseCountingThousand"/>
      <w:pStyle w:val="3"/>
      <w:lvlText w:val="%1."/>
      <w:lvlJc w:val="left"/>
      <w:pPr>
        <w:ind w:left="425" w:hanging="425"/>
      </w:pPr>
      <w:rPr>
        <w:rFonts w:hint="eastAsia"/>
      </w:rPr>
    </w:lvl>
    <w:lvl w:ilvl="1" w:tentative="0">
      <w:start w:val="1"/>
      <w:numFmt w:val="decimal"/>
      <w:pStyle w:val="4"/>
      <w:isLgl/>
      <w:lvlText w:val="%1.%2."/>
      <w:lvlJc w:val="left"/>
      <w:pPr>
        <w:ind w:left="567" w:hanging="567"/>
      </w:pPr>
      <w:rPr>
        <w:rFonts w:hint="default" w:ascii="Times New Roman" w:hAnsi="Times New Roman" w:eastAsia="仿宋" w:cs="Times New Roman"/>
      </w:rPr>
    </w:lvl>
    <w:lvl w:ilvl="2" w:tentative="0">
      <w:start w:val="1"/>
      <w:numFmt w:val="decimal"/>
      <w:pStyle w:val="5"/>
      <w:isLgl/>
      <w:lvlText w:val="%1.%2.%3."/>
      <w:lvlJc w:val="left"/>
      <w:pPr>
        <w:ind w:left="709" w:hanging="709"/>
      </w:pPr>
      <w:rPr>
        <w:rFonts w:hint="eastAsia"/>
        <w:lang w:val="en-US"/>
      </w:rPr>
    </w:lvl>
    <w:lvl w:ilvl="3" w:tentative="0">
      <w:start w:val="1"/>
      <w:numFmt w:val="decimal"/>
      <w:pStyle w:val="6"/>
      <w:isLg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6">
    <w:nsid w:val="31567B54"/>
    <w:multiLevelType w:val="multilevel"/>
    <w:tmpl w:val="31567B54"/>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7">
    <w:nsid w:val="3F142E81"/>
    <w:multiLevelType w:val="multilevel"/>
    <w:tmpl w:val="3F142E8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44D779FD"/>
    <w:multiLevelType w:val="singleLevel"/>
    <w:tmpl w:val="44D779FD"/>
    <w:lvl w:ilvl="0" w:tentative="0">
      <w:start w:val="1"/>
      <w:numFmt w:val="decimal"/>
      <w:lvlText w:val="%1."/>
      <w:lvlJc w:val="left"/>
      <w:pPr>
        <w:ind w:left="425" w:hanging="425"/>
      </w:pPr>
      <w:rPr>
        <w:rFonts w:hint="default"/>
      </w:rPr>
    </w:lvl>
  </w:abstractNum>
  <w:abstractNum w:abstractNumId="29">
    <w:nsid w:val="4BEB2CAD"/>
    <w:multiLevelType w:val="multilevel"/>
    <w:tmpl w:val="4BEB2CAD"/>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6E4F3CBE"/>
    <w:multiLevelType w:val="singleLevel"/>
    <w:tmpl w:val="6E4F3CBE"/>
    <w:lvl w:ilvl="0" w:tentative="0">
      <w:start w:val="1"/>
      <w:numFmt w:val="decimal"/>
      <w:lvlText w:val="%1."/>
      <w:lvlJc w:val="left"/>
      <w:pPr>
        <w:tabs>
          <w:tab w:val="left" w:pos="420"/>
        </w:tabs>
        <w:ind w:left="845" w:hanging="425"/>
      </w:pPr>
      <w:rPr>
        <w:rFonts w:hint="default"/>
      </w:rPr>
    </w:lvl>
  </w:abstractNum>
  <w:abstractNum w:abstractNumId="31">
    <w:nsid w:val="70717388"/>
    <w:multiLevelType w:val="multilevel"/>
    <w:tmpl w:val="70717388"/>
    <w:lvl w:ilvl="0" w:tentative="0">
      <w:start w:val="1"/>
      <w:numFmt w:val="decimal"/>
      <w:isLgl/>
      <w:suff w:val="space"/>
      <w:lvlText w:val="%1"/>
      <w:lvlJc w:val="left"/>
      <w:pPr>
        <w:ind w:left="0" w:firstLine="0"/>
      </w:pPr>
      <w:rPr>
        <w:rFonts w:hint="eastAsia"/>
        <w:color w:val="000000"/>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567" w:firstLine="0"/>
      </w:pPr>
      <w:rPr>
        <w:rFonts w:hint="eastAsia"/>
      </w:rPr>
    </w:lvl>
    <w:lvl w:ilvl="3" w:tentative="0">
      <w:start w:val="1"/>
      <w:numFmt w:val="decimal"/>
      <w:pStyle w:val="29"/>
      <w:isLgl/>
      <w:suff w:val="space"/>
      <w:lvlText w:val="%1.%2.%3.%4"/>
      <w:lvlJc w:val="left"/>
      <w:pPr>
        <w:ind w:left="0" w:firstLine="0"/>
      </w:pPr>
      <w:rPr>
        <w:rFonts w:hint="eastAsia"/>
      </w:rPr>
    </w:lvl>
    <w:lvl w:ilvl="4" w:tentative="0">
      <w:start w:val="1"/>
      <w:numFmt w:val="decimal"/>
      <w:isLgl/>
      <w:suff w:val="space"/>
      <w:lvlText w:val="%1.%2.%3.%4.%5"/>
      <w:lvlJc w:val="left"/>
      <w:pPr>
        <w:ind w:left="710" w:firstLine="0"/>
      </w:pPr>
      <w:rPr>
        <w:rFonts w:hint="eastAsia"/>
      </w:rPr>
    </w:lvl>
    <w:lvl w:ilvl="5" w:tentative="0">
      <w:start w:val="1"/>
      <w:numFmt w:val="decimal"/>
      <w:suff w:val="space"/>
      <w:lvlText w:val="%1.%2.%3.%4.%5.%6"/>
      <w:lvlJc w:val="left"/>
      <w:pPr>
        <w:ind w:left="142"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lvlRestart w:val="1"/>
      <w:isLgl/>
      <w:suff w:val="space"/>
      <w:lvlText w:val="图%1-%8"/>
      <w:lvlJc w:val="center"/>
      <w:pPr>
        <w:ind w:left="3402" w:firstLine="0"/>
      </w:pPr>
      <w:rPr>
        <w:rFonts w:hint="eastAsia" w:ascii="Times New Roman" w:hAnsi="Times New Roman" w:cs="Times New Roman"/>
        <w:b w:val="0"/>
        <w:bCs w:val="0"/>
        <w:i w:val="0"/>
        <w:iCs w:val="0"/>
        <w:caps w:val="0"/>
        <w:smallCaps w:val="0"/>
        <w:strike w:val="0"/>
        <w:dstrike w:val="0"/>
        <w:color w:val="000000"/>
        <w:spacing w:val="0"/>
        <w:position w:val="0"/>
        <w:u w:val="none"/>
      </w:rPr>
    </w:lvl>
    <w:lvl w:ilvl="8" w:tentative="0">
      <w:start w:val="1"/>
      <w:numFmt w:val="decimal"/>
      <w:lvlText w:val="%9、"/>
      <w:lvlJc w:val="left"/>
      <w:pPr>
        <w:ind w:left="360" w:hanging="360"/>
      </w:pPr>
      <w:rPr>
        <w:rFonts w:hint="default"/>
      </w:rPr>
    </w:lvl>
  </w:abstractNum>
  <w:abstractNum w:abstractNumId="32">
    <w:nsid w:val="70E37B83"/>
    <w:multiLevelType w:val="multilevel"/>
    <w:tmpl w:val="70E37B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3A46211"/>
    <w:multiLevelType w:val="singleLevel"/>
    <w:tmpl w:val="73A46211"/>
    <w:lvl w:ilvl="0" w:tentative="0">
      <w:start w:val="1"/>
      <w:numFmt w:val="decimal"/>
      <w:lvlText w:val="%1."/>
      <w:lvlJc w:val="left"/>
      <w:pPr>
        <w:tabs>
          <w:tab w:val="left" w:pos="425"/>
        </w:tabs>
        <w:ind w:left="425" w:hanging="425"/>
      </w:pPr>
      <w:rPr>
        <w:rFonts w:hint="default"/>
      </w:rPr>
    </w:lvl>
  </w:abstractNum>
  <w:abstractNum w:abstractNumId="34">
    <w:nsid w:val="782B4A2F"/>
    <w:multiLevelType w:val="multilevel"/>
    <w:tmpl w:val="782B4A2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5"/>
  </w:num>
  <w:num w:numId="2">
    <w:abstractNumId w:val="31"/>
  </w:num>
  <w:num w:numId="3">
    <w:abstractNumId w:val="10"/>
  </w:num>
  <w:num w:numId="4">
    <w:abstractNumId w:val="14"/>
  </w:num>
  <w:num w:numId="5">
    <w:abstractNumId w:val="1"/>
  </w:num>
  <w:num w:numId="6">
    <w:abstractNumId w:val="12"/>
  </w:num>
  <w:num w:numId="7">
    <w:abstractNumId w:val="15"/>
  </w:num>
  <w:num w:numId="8">
    <w:abstractNumId w:val="13"/>
  </w:num>
  <w:num w:numId="9">
    <w:abstractNumId w:val="33"/>
  </w:num>
  <w:num w:numId="10">
    <w:abstractNumId w:val="8"/>
  </w:num>
  <w:num w:numId="11">
    <w:abstractNumId w:val="21"/>
  </w:num>
  <w:num w:numId="12">
    <w:abstractNumId w:val="2"/>
  </w:num>
  <w:num w:numId="13">
    <w:abstractNumId w:val="9"/>
  </w:num>
  <w:num w:numId="14">
    <w:abstractNumId w:val="29"/>
  </w:num>
  <w:num w:numId="15">
    <w:abstractNumId w:val="22"/>
  </w:num>
  <w:num w:numId="16">
    <w:abstractNumId w:val="6"/>
  </w:num>
  <w:num w:numId="17">
    <w:abstractNumId w:val="11"/>
  </w:num>
  <w:num w:numId="18">
    <w:abstractNumId w:val="7"/>
  </w:num>
  <w:num w:numId="19">
    <w:abstractNumId w:val="0"/>
  </w:num>
  <w:num w:numId="20">
    <w:abstractNumId w:val="5"/>
  </w:num>
  <w:num w:numId="21">
    <w:abstractNumId w:val="3"/>
  </w:num>
  <w:num w:numId="22">
    <w:abstractNumId w:val="19"/>
  </w:num>
  <w:num w:numId="23">
    <w:abstractNumId w:val="30"/>
  </w:num>
  <w:num w:numId="24">
    <w:abstractNumId w:val="17"/>
  </w:num>
  <w:num w:numId="25">
    <w:abstractNumId w:val="16"/>
  </w:num>
  <w:num w:numId="26">
    <w:abstractNumId w:val="23"/>
  </w:num>
  <w:num w:numId="27">
    <w:abstractNumId w:val="28"/>
  </w:num>
  <w:num w:numId="28">
    <w:abstractNumId w:val="20"/>
  </w:num>
  <w:num w:numId="29">
    <w:abstractNumId w:val="18"/>
  </w:num>
  <w:num w:numId="30">
    <w:abstractNumId w:val="32"/>
  </w:num>
  <w:num w:numId="31">
    <w:abstractNumId w:val="24"/>
  </w:num>
  <w:num w:numId="32">
    <w:abstractNumId w:val="34"/>
  </w:num>
  <w:num w:numId="33">
    <w:abstractNumId w:val="27"/>
  </w:num>
  <w:num w:numId="34">
    <w:abstractNumId w:val="26"/>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removePersonalInformation/>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NGQ4MDY4NjMxYWVlMzc3ODM2NDE0MmU1ODUxYzYifQ=="/>
  </w:docVars>
  <w:rsids>
    <w:rsidRoot w:val="00EB6E46"/>
    <w:rsid w:val="000020EF"/>
    <w:rsid w:val="00003CC1"/>
    <w:rsid w:val="00011E12"/>
    <w:rsid w:val="000156E9"/>
    <w:rsid w:val="0002702E"/>
    <w:rsid w:val="00031060"/>
    <w:rsid w:val="0003729E"/>
    <w:rsid w:val="000540A7"/>
    <w:rsid w:val="00061D1B"/>
    <w:rsid w:val="00063FCF"/>
    <w:rsid w:val="00070968"/>
    <w:rsid w:val="000722ED"/>
    <w:rsid w:val="00074B21"/>
    <w:rsid w:val="00075014"/>
    <w:rsid w:val="0008259F"/>
    <w:rsid w:val="000827F7"/>
    <w:rsid w:val="00092719"/>
    <w:rsid w:val="000A1157"/>
    <w:rsid w:val="000A12C6"/>
    <w:rsid w:val="000A203C"/>
    <w:rsid w:val="000A5EE8"/>
    <w:rsid w:val="000B25E0"/>
    <w:rsid w:val="000B776C"/>
    <w:rsid w:val="000C02D4"/>
    <w:rsid w:val="000C458B"/>
    <w:rsid w:val="000C5570"/>
    <w:rsid w:val="000D517F"/>
    <w:rsid w:val="000E3E38"/>
    <w:rsid w:val="000F0B4A"/>
    <w:rsid w:val="000F25B2"/>
    <w:rsid w:val="000F5EB8"/>
    <w:rsid w:val="0010269D"/>
    <w:rsid w:val="00121B24"/>
    <w:rsid w:val="00122C4B"/>
    <w:rsid w:val="001245F8"/>
    <w:rsid w:val="00126815"/>
    <w:rsid w:val="00126BD9"/>
    <w:rsid w:val="00130535"/>
    <w:rsid w:val="00132FA9"/>
    <w:rsid w:val="0013340E"/>
    <w:rsid w:val="00140EC5"/>
    <w:rsid w:val="00146B87"/>
    <w:rsid w:val="0014700D"/>
    <w:rsid w:val="00150C86"/>
    <w:rsid w:val="00150F6E"/>
    <w:rsid w:val="001528FC"/>
    <w:rsid w:val="001535BE"/>
    <w:rsid w:val="001547FA"/>
    <w:rsid w:val="00160B90"/>
    <w:rsid w:val="00161BB0"/>
    <w:rsid w:val="0016259E"/>
    <w:rsid w:val="0016652C"/>
    <w:rsid w:val="0018463C"/>
    <w:rsid w:val="0018683B"/>
    <w:rsid w:val="00193ADE"/>
    <w:rsid w:val="00194093"/>
    <w:rsid w:val="00196A73"/>
    <w:rsid w:val="00197A2A"/>
    <w:rsid w:val="001A3D45"/>
    <w:rsid w:val="001B55DE"/>
    <w:rsid w:val="001B6A69"/>
    <w:rsid w:val="001C6B85"/>
    <w:rsid w:val="001C79CC"/>
    <w:rsid w:val="001D0575"/>
    <w:rsid w:val="001D3428"/>
    <w:rsid w:val="001F4D59"/>
    <w:rsid w:val="002012D8"/>
    <w:rsid w:val="002105D9"/>
    <w:rsid w:val="002115A5"/>
    <w:rsid w:val="0021486B"/>
    <w:rsid w:val="0021679B"/>
    <w:rsid w:val="00217725"/>
    <w:rsid w:val="00236659"/>
    <w:rsid w:val="00237E0E"/>
    <w:rsid w:val="00240A9B"/>
    <w:rsid w:val="002410A1"/>
    <w:rsid w:val="00245467"/>
    <w:rsid w:val="002512EB"/>
    <w:rsid w:val="0025634E"/>
    <w:rsid w:val="00263AA1"/>
    <w:rsid w:val="002656C6"/>
    <w:rsid w:val="0028697A"/>
    <w:rsid w:val="00286EBD"/>
    <w:rsid w:val="00291E33"/>
    <w:rsid w:val="002A2043"/>
    <w:rsid w:val="002A6ADE"/>
    <w:rsid w:val="002B2C58"/>
    <w:rsid w:val="002B5C87"/>
    <w:rsid w:val="002C2B55"/>
    <w:rsid w:val="002C4DD6"/>
    <w:rsid w:val="002E2FEC"/>
    <w:rsid w:val="002F19F1"/>
    <w:rsid w:val="002F33DC"/>
    <w:rsid w:val="003004B3"/>
    <w:rsid w:val="00302F53"/>
    <w:rsid w:val="00315B5D"/>
    <w:rsid w:val="00320B6C"/>
    <w:rsid w:val="00325272"/>
    <w:rsid w:val="00325EB8"/>
    <w:rsid w:val="0033245B"/>
    <w:rsid w:val="00332563"/>
    <w:rsid w:val="003333C4"/>
    <w:rsid w:val="003408AD"/>
    <w:rsid w:val="00342AE6"/>
    <w:rsid w:val="003501FE"/>
    <w:rsid w:val="00351FD4"/>
    <w:rsid w:val="0035731A"/>
    <w:rsid w:val="00357ADC"/>
    <w:rsid w:val="0036564D"/>
    <w:rsid w:val="00366A93"/>
    <w:rsid w:val="00367DB4"/>
    <w:rsid w:val="00370246"/>
    <w:rsid w:val="003827A2"/>
    <w:rsid w:val="00385A26"/>
    <w:rsid w:val="0039589E"/>
    <w:rsid w:val="00396829"/>
    <w:rsid w:val="00397C7A"/>
    <w:rsid w:val="003A5744"/>
    <w:rsid w:val="003A6A6B"/>
    <w:rsid w:val="003B227B"/>
    <w:rsid w:val="003B2520"/>
    <w:rsid w:val="003C12B4"/>
    <w:rsid w:val="003C6DEF"/>
    <w:rsid w:val="003D0192"/>
    <w:rsid w:val="003D402B"/>
    <w:rsid w:val="003D466F"/>
    <w:rsid w:val="003D7293"/>
    <w:rsid w:val="003E2367"/>
    <w:rsid w:val="003E2B53"/>
    <w:rsid w:val="003F0210"/>
    <w:rsid w:val="0040117E"/>
    <w:rsid w:val="00412BDE"/>
    <w:rsid w:val="00413E0C"/>
    <w:rsid w:val="00414BA8"/>
    <w:rsid w:val="00415041"/>
    <w:rsid w:val="00416410"/>
    <w:rsid w:val="004268BA"/>
    <w:rsid w:val="00430920"/>
    <w:rsid w:val="00431561"/>
    <w:rsid w:val="004324F1"/>
    <w:rsid w:val="00437E9F"/>
    <w:rsid w:val="004415FB"/>
    <w:rsid w:val="00445BA0"/>
    <w:rsid w:val="00447A25"/>
    <w:rsid w:val="00451B98"/>
    <w:rsid w:val="00452546"/>
    <w:rsid w:val="0045519F"/>
    <w:rsid w:val="00455A94"/>
    <w:rsid w:val="004564BC"/>
    <w:rsid w:val="00456D7B"/>
    <w:rsid w:val="0046078B"/>
    <w:rsid w:val="00461E27"/>
    <w:rsid w:val="00467DE0"/>
    <w:rsid w:val="00475713"/>
    <w:rsid w:val="00485AEC"/>
    <w:rsid w:val="0049156F"/>
    <w:rsid w:val="00497F42"/>
    <w:rsid w:val="004A79F5"/>
    <w:rsid w:val="004B384C"/>
    <w:rsid w:val="004B5344"/>
    <w:rsid w:val="004C2667"/>
    <w:rsid w:val="004C481E"/>
    <w:rsid w:val="004C5E20"/>
    <w:rsid w:val="004C7089"/>
    <w:rsid w:val="004D2FB8"/>
    <w:rsid w:val="004D75A1"/>
    <w:rsid w:val="004D7792"/>
    <w:rsid w:val="004E0798"/>
    <w:rsid w:val="004F0C3C"/>
    <w:rsid w:val="004F3B0D"/>
    <w:rsid w:val="004F5982"/>
    <w:rsid w:val="004F6234"/>
    <w:rsid w:val="005048D3"/>
    <w:rsid w:val="00507965"/>
    <w:rsid w:val="00512C0F"/>
    <w:rsid w:val="00513969"/>
    <w:rsid w:val="00513DCA"/>
    <w:rsid w:val="00523C40"/>
    <w:rsid w:val="005242CF"/>
    <w:rsid w:val="00525A70"/>
    <w:rsid w:val="005423D4"/>
    <w:rsid w:val="00542B39"/>
    <w:rsid w:val="0054624D"/>
    <w:rsid w:val="005463D1"/>
    <w:rsid w:val="0054769E"/>
    <w:rsid w:val="00561DC7"/>
    <w:rsid w:val="00576E11"/>
    <w:rsid w:val="00584BEC"/>
    <w:rsid w:val="00590B57"/>
    <w:rsid w:val="005926A3"/>
    <w:rsid w:val="00592E12"/>
    <w:rsid w:val="0059314F"/>
    <w:rsid w:val="0059617C"/>
    <w:rsid w:val="005962D8"/>
    <w:rsid w:val="00596780"/>
    <w:rsid w:val="00597929"/>
    <w:rsid w:val="005A4AC1"/>
    <w:rsid w:val="005A59DF"/>
    <w:rsid w:val="005A757C"/>
    <w:rsid w:val="005A7BC8"/>
    <w:rsid w:val="005B38A4"/>
    <w:rsid w:val="005B7658"/>
    <w:rsid w:val="005C3018"/>
    <w:rsid w:val="005D0242"/>
    <w:rsid w:val="005D2D74"/>
    <w:rsid w:val="005F0F47"/>
    <w:rsid w:val="006009EF"/>
    <w:rsid w:val="00603850"/>
    <w:rsid w:val="00603EA3"/>
    <w:rsid w:val="006040D3"/>
    <w:rsid w:val="00604E70"/>
    <w:rsid w:val="00610B2A"/>
    <w:rsid w:val="00611F05"/>
    <w:rsid w:val="006144A8"/>
    <w:rsid w:val="00617EAA"/>
    <w:rsid w:val="00623788"/>
    <w:rsid w:val="006246CE"/>
    <w:rsid w:val="00646DBE"/>
    <w:rsid w:val="00651D81"/>
    <w:rsid w:val="006552CB"/>
    <w:rsid w:val="00665A6F"/>
    <w:rsid w:val="00671E82"/>
    <w:rsid w:val="006723B7"/>
    <w:rsid w:val="0067265A"/>
    <w:rsid w:val="00672CA4"/>
    <w:rsid w:val="006763A9"/>
    <w:rsid w:val="00677399"/>
    <w:rsid w:val="00680B60"/>
    <w:rsid w:val="00691178"/>
    <w:rsid w:val="00691AEF"/>
    <w:rsid w:val="0069497C"/>
    <w:rsid w:val="00695B6D"/>
    <w:rsid w:val="006A2877"/>
    <w:rsid w:val="006A3E25"/>
    <w:rsid w:val="006A3E4D"/>
    <w:rsid w:val="006A5108"/>
    <w:rsid w:val="006A602A"/>
    <w:rsid w:val="006B58BF"/>
    <w:rsid w:val="006B7B50"/>
    <w:rsid w:val="006C1159"/>
    <w:rsid w:val="006C1F4C"/>
    <w:rsid w:val="006D1B13"/>
    <w:rsid w:val="006E60A5"/>
    <w:rsid w:val="006E6263"/>
    <w:rsid w:val="006F4691"/>
    <w:rsid w:val="006F54A8"/>
    <w:rsid w:val="006F7B56"/>
    <w:rsid w:val="00700DF9"/>
    <w:rsid w:val="00706A16"/>
    <w:rsid w:val="0071024D"/>
    <w:rsid w:val="00711535"/>
    <w:rsid w:val="00716AA2"/>
    <w:rsid w:val="0072133A"/>
    <w:rsid w:val="00730F85"/>
    <w:rsid w:val="00732282"/>
    <w:rsid w:val="007326D6"/>
    <w:rsid w:val="00733C0E"/>
    <w:rsid w:val="00733DC9"/>
    <w:rsid w:val="00735357"/>
    <w:rsid w:val="007424E8"/>
    <w:rsid w:val="00746C0C"/>
    <w:rsid w:val="00754194"/>
    <w:rsid w:val="00754869"/>
    <w:rsid w:val="00772B6C"/>
    <w:rsid w:val="00774DFE"/>
    <w:rsid w:val="0077546D"/>
    <w:rsid w:val="00776CBD"/>
    <w:rsid w:val="0077761D"/>
    <w:rsid w:val="00780D79"/>
    <w:rsid w:val="007874F2"/>
    <w:rsid w:val="00796AF9"/>
    <w:rsid w:val="007A2830"/>
    <w:rsid w:val="007A2DC0"/>
    <w:rsid w:val="007B38A2"/>
    <w:rsid w:val="007B7FEF"/>
    <w:rsid w:val="007C08A3"/>
    <w:rsid w:val="007C3C28"/>
    <w:rsid w:val="007C4963"/>
    <w:rsid w:val="007C5016"/>
    <w:rsid w:val="007C583C"/>
    <w:rsid w:val="007D74E5"/>
    <w:rsid w:val="007F1FA5"/>
    <w:rsid w:val="007F2A2A"/>
    <w:rsid w:val="007F3C64"/>
    <w:rsid w:val="007F433B"/>
    <w:rsid w:val="007F5338"/>
    <w:rsid w:val="0080445A"/>
    <w:rsid w:val="008050C9"/>
    <w:rsid w:val="008104B7"/>
    <w:rsid w:val="00811EE6"/>
    <w:rsid w:val="00827810"/>
    <w:rsid w:val="00833B21"/>
    <w:rsid w:val="00844014"/>
    <w:rsid w:val="00846FF2"/>
    <w:rsid w:val="00855649"/>
    <w:rsid w:val="00857A70"/>
    <w:rsid w:val="008648C7"/>
    <w:rsid w:val="00867363"/>
    <w:rsid w:val="008673B4"/>
    <w:rsid w:val="008674B2"/>
    <w:rsid w:val="00874656"/>
    <w:rsid w:val="008820D8"/>
    <w:rsid w:val="008908FB"/>
    <w:rsid w:val="008913E2"/>
    <w:rsid w:val="00894EAF"/>
    <w:rsid w:val="00897B3F"/>
    <w:rsid w:val="008A035C"/>
    <w:rsid w:val="008A0D89"/>
    <w:rsid w:val="008A45C1"/>
    <w:rsid w:val="008A59D3"/>
    <w:rsid w:val="008A5C08"/>
    <w:rsid w:val="008B6C8F"/>
    <w:rsid w:val="008C44F5"/>
    <w:rsid w:val="008D2916"/>
    <w:rsid w:val="008E597F"/>
    <w:rsid w:val="008E711C"/>
    <w:rsid w:val="008F23BC"/>
    <w:rsid w:val="008F6627"/>
    <w:rsid w:val="008F7511"/>
    <w:rsid w:val="0090671E"/>
    <w:rsid w:val="0091035D"/>
    <w:rsid w:val="009171C3"/>
    <w:rsid w:val="0091771C"/>
    <w:rsid w:val="00917AF5"/>
    <w:rsid w:val="0093037C"/>
    <w:rsid w:val="0093272B"/>
    <w:rsid w:val="00937C36"/>
    <w:rsid w:val="00941D14"/>
    <w:rsid w:val="0095287D"/>
    <w:rsid w:val="009529A3"/>
    <w:rsid w:val="009533BE"/>
    <w:rsid w:val="0096325C"/>
    <w:rsid w:val="0097084B"/>
    <w:rsid w:val="009728CD"/>
    <w:rsid w:val="00982A16"/>
    <w:rsid w:val="00991A64"/>
    <w:rsid w:val="009938D7"/>
    <w:rsid w:val="009948B4"/>
    <w:rsid w:val="00997669"/>
    <w:rsid w:val="009A537A"/>
    <w:rsid w:val="009A6605"/>
    <w:rsid w:val="009A6EFC"/>
    <w:rsid w:val="009B1449"/>
    <w:rsid w:val="009B465B"/>
    <w:rsid w:val="009C1637"/>
    <w:rsid w:val="009D424B"/>
    <w:rsid w:val="009E350F"/>
    <w:rsid w:val="00A04BC4"/>
    <w:rsid w:val="00A14E48"/>
    <w:rsid w:val="00A16867"/>
    <w:rsid w:val="00A223C0"/>
    <w:rsid w:val="00A22900"/>
    <w:rsid w:val="00A275B6"/>
    <w:rsid w:val="00A33800"/>
    <w:rsid w:val="00A42307"/>
    <w:rsid w:val="00A448A9"/>
    <w:rsid w:val="00A51EC6"/>
    <w:rsid w:val="00A521B0"/>
    <w:rsid w:val="00A535DD"/>
    <w:rsid w:val="00A55D9C"/>
    <w:rsid w:val="00A56E95"/>
    <w:rsid w:val="00A61301"/>
    <w:rsid w:val="00A73B0E"/>
    <w:rsid w:val="00A74F2A"/>
    <w:rsid w:val="00A77A0E"/>
    <w:rsid w:val="00A801F0"/>
    <w:rsid w:val="00A85966"/>
    <w:rsid w:val="00A973BA"/>
    <w:rsid w:val="00AA0BE2"/>
    <w:rsid w:val="00AA2CD6"/>
    <w:rsid w:val="00AA5117"/>
    <w:rsid w:val="00AB3ACC"/>
    <w:rsid w:val="00AB5F68"/>
    <w:rsid w:val="00AC0EBA"/>
    <w:rsid w:val="00AD16FB"/>
    <w:rsid w:val="00AD64AB"/>
    <w:rsid w:val="00AE7BB8"/>
    <w:rsid w:val="00AF0F2A"/>
    <w:rsid w:val="00B01A38"/>
    <w:rsid w:val="00B01E06"/>
    <w:rsid w:val="00B03B3F"/>
    <w:rsid w:val="00B22944"/>
    <w:rsid w:val="00B30B8C"/>
    <w:rsid w:val="00B31A9E"/>
    <w:rsid w:val="00B45139"/>
    <w:rsid w:val="00B51996"/>
    <w:rsid w:val="00B57485"/>
    <w:rsid w:val="00B64FE6"/>
    <w:rsid w:val="00B71801"/>
    <w:rsid w:val="00B71F11"/>
    <w:rsid w:val="00B744FB"/>
    <w:rsid w:val="00B85436"/>
    <w:rsid w:val="00B91F79"/>
    <w:rsid w:val="00B92015"/>
    <w:rsid w:val="00B965FB"/>
    <w:rsid w:val="00B974FC"/>
    <w:rsid w:val="00BA0D62"/>
    <w:rsid w:val="00BA238A"/>
    <w:rsid w:val="00BA40B1"/>
    <w:rsid w:val="00BA40F8"/>
    <w:rsid w:val="00BB5205"/>
    <w:rsid w:val="00BB5F7F"/>
    <w:rsid w:val="00BC14CD"/>
    <w:rsid w:val="00BD2A84"/>
    <w:rsid w:val="00BD449E"/>
    <w:rsid w:val="00BE0B68"/>
    <w:rsid w:val="00BE3B03"/>
    <w:rsid w:val="00BE6CEB"/>
    <w:rsid w:val="00BF4AC4"/>
    <w:rsid w:val="00C03096"/>
    <w:rsid w:val="00C03DD8"/>
    <w:rsid w:val="00C10431"/>
    <w:rsid w:val="00C11506"/>
    <w:rsid w:val="00C11D13"/>
    <w:rsid w:val="00C15C0E"/>
    <w:rsid w:val="00C16038"/>
    <w:rsid w:val="00C17C30"/>
    <w:rsid w:val="00C30BE6"/>
    <w:rsid w:val="00C40DDF"/>
    <w:rsid w:val="00C44C7B"/>
    <w:rsid w:val="00C51EA8"/>
    <w:rsid w:val="00C570BF"/>
    <w:rsid w:val="00C65582"/>
    <w:rsid w:val="00C66616"/>
    <w:rsid w:val="00C72E74"/>
    <w:rsid w:val="00C766E5"/>
    <w:rsid w:val="00C810EA"/>
    <w:rsid w:val="00C8172C"/>
    <w:rsid w:val="00C83AB8"/>
    <w:rsid w:val="00C93472"/>
    <w:rsid w:val="00C93A3A"/>
    <w:rsid w:val="00CA473A"/>
    <w:rsid w:val="00CA64C1"/>
    <w:rsid w:val="00CA717C"/>
    <w:rsid w:val="00CB0DC4"/>
    <w:rsid w:val="00CC55B4"/>
    <w:rsid w:val="00CD3873"/>
    <w:rsid w:val="00CD4AAE"/>
    <w:rsid w:val="00CD567F"/>
    <w:rsid w:val="00CD5793"/>
    <w:rsid w:val="00CD7A8E"/>
    <w:rsid w:val="00CE3A85"/>
    <w:rsid w:val="00CF61E4"/>
    <w:rsid w:val="00D06313"/>
    <w:rsid w:val="00D10AFE"/>
    <w:rsid w:val="00D10C87"/>
    <w:rsid w:val="00D13CE8"/>
    <w:rsid w:val="00D30D11"/>
    <w:rsid w:val="00D33C8E"/>
    <w:rsid w:val="00D36096"/>
    <w:rsid w:val="00D42350"/>
    <w:rsid w:val="00D45681"/>
    <w:rsid w:val="00D50E21"/>
    <w:rsid w:val="00D54B58"/>
    <w:rsid w:val="00D72DE5"/>
    <w:rsid w:val="00D72E4B"/>
    <w:rsid w:val="00D8064A"/>
    <w:rsid w:val="00D809F8"/>
    <w:rsid w:val="00D83791"/>
    <w:rsid w:val="00D8495E"/>
    <w:rsid w:val="00D91E9C"/>
    <w:rsid w:val="00D93069"/>
    <w:rsid w:val="00D93B64"/>
    <w:rsid w:val="00D9470E"/>
    <w:rsid w:val="00DA3EC5"/>
    <w:rsid w:val="00DB63ED"/>
    <w:rsid w:val="00DC03CA"/>
    <w:rsid w:val="00DC0A45"/>
    <w:rsid w:val="00DD6DBA"/>
    <w:rsid w:val="00DD7365"/>
    <w:rsid w:val="00DE00D2"/>
    <w:rsid w:val="00DE4D63"/>
    <w:rsid w:val="00DF29CB"/>
    <w:rsid w:val="00DF2AD9"/>
    <w:rsid w:val="00DF364C"/>
    <w:rsid w:val="00DF4903"/>
    <w:rsid w:val="00DF60E4"/>
    <w:rsid w:val="00DF7182"/>
    <w:rsid w:val="00E01602"/>
    <w:rsid w:val="00E10699"/>
    <w:rsid w:val="00E1203A"/>
    <w:rsid w:val="00E142C8"/>
    <w:rsid w:val="00E155EE"/>
    <w:rsid w:val="00E31775"/>
    <w:rsid w:val="00E333A1"/>
    <w:rsid w:val="00E375EA"/>
    <w:rsid w:val="00E40BF6"/>
    <w:rsid w:val="00E4359B"/>
    <w:rsid w:val="00E44086"/>
    <w:rsid w:val="00E4771E"/>
    <w:rsid w:val="00E50D89"/>
    <w:rsid w:val="00E5212A"/>
    <w:rsid w:val="00E52445"/>
    <w:rsid w:val="00E57D02"/>
    <w:rsid w:val="00E602B0"/>
    <w:rsid w:val="00E7673F"/>
    <w:rsid w:val="00E831AC"/>
    <w:rsid w:val="00E8625C"/>
    <w:rsid w:val="00E86F38"/>
    <w:rsid w:val="00E90051"/>
    <w:rsid w:val="00E91F3E"/>
    <w:rsid w:val="00E93959"/>
    <w:rsid w:val="00E95C33"/>
    <w:rsid w:val="00E961BC"/>
    <w:rsid w:val="00EA184C"/>
    <w:rsid w:val="00EA1C49"/>
    <w:rsid w:val="00EA22CB"/>
    <w:rsid w:val="00EA6C1E"/>
    <w:rsid w:val="00EB0E78"/>
    <w:rsid w:val="00EB5CA0"/>
    <w:rsid w:val="00EB6E46"/>
    <w:rsid w:val="00EE7AFC"/>
    <w:rsid w:val="00EF23E0"/>
    <w:rsid w:val="00EF4245"/>
    <w:rsid w:val="00F020A5"/>
    <w:rsid w:val="00F02D93"/>
    <w:rsid w:val="00F0302E"/>
    <w:rsid w:val="00F05F71"/>
    <w:rsid w:val="00F10DE2"/>
    <w:rsid w:val="00F13786"/>
    <w:rsid w:val="00F1513F"/>
    <w:rsid w:val="00F311D6"/>
    <w:rsid w:val="00F379A7"/>
    <w:rsid w:val="00F45E36"/>
    <w:rsid w:val="00F47511"/>
    <w:rsid w:val="00F47AEB"/>
    <w:rsid w:val="00F5333C"/>
    <w:rsid w:val="00F543D0"/>
    <w:rsid w:val="00F543D5"/>
    <w:rsid w:val="00F618EB"/>
    <w:rsid w:val="00F63A01"/>
    <w:rsid w:val="00F871C5"/>
    <w:rsid w:val="00FA0E5F"/>
    <w:rsid w:val="00FA3091"/>
    <w:rsid w:val="00FA3592"/>
    <w:rsid w:val="00FA379A"/>
    <w:rsid w:val="00FA49EE"/>
    <w:rsid w:val="00FA5AC1"/>
    <w:rsid w:val="00FB631B"/>
    <w:rsid w:val="00FB7C11"/>
    <w:rsid w:val="00FC1BBE"/>
    <w:rsid w:val="00FC1FEF"/>
    <w:rsid w:val="00FC2799"/>
    <w:rsid w:val="00FC4CEF"/>
    <w:rsid w:val="00FD4CAD"/>
    <w:rsid w:val="00FE212E"/>
    <w:rsid w:val="00FE498B"/>
    <w:rsid w:val="00FF00C2"/>
    <w:rsid w:val="00FF63E0"/>
    <w:rsid w:val="00FF6557"/>
    <w:rsid w:val="01780627"/>
    <w:rsid w:val="02341902"/>
    <w:rsid w:val="029812BF"/>
    <w:rsid w:val="0331541B"/>
    <w:rsid w:val="03383711"/>
    <w:rsid w:val="038F11C7"/>
    <w:rsid w:val="04424BD9"/>
    <w:rsid w:val="04445DF1"/>
    <w:rsid w:val="05E674F0"/>
    <w:rsid w:val="05F907B3"/>
    <w:rsid w:val="066B1559"/>
    <w:rsid w:val="067316A3"/>
    <w:rsid w:val="06AE6630"/>
    <w:rsid w:val="06E33D57"/>
    <w:rsid w:val="073008A4"/>
    <w:rsid w:val="076558E2"/>
    <w:rsid w:val="07A03978"/>
    <w:rsid w:val="07F16026"/>
    <w:rsid w:val="08957ADF"/>
    <w:rsid w:val="08D8754B"/>
    <w:rsid w:val="097D016B"/>
    <w:rsid w:val="098268E8"/>
    <w:rsid w:val="0A3E76E8"/>
    <w:rsid w:val="0AB03C78"/>
    <w:rsid w:val="0B625BC3"/>
    <w:rsid w:val="0BAD7D51"/>
    <w:rsid w:val="0BD240F3"/>
    <w:rsid w:val="0C7E5DDF"/>
    <w:rsid w:val="0CD84833"/>
    <w:rsid w:val="0D071316"/>
    <w:rsid w:val="0D1B1BAD"/>
    <w:rsid w:val="0D6616FD"/>
    <w:rsid w:val="0D6B25E9"/>
    <w:rsid w:val="0DCA6677"/>
    <w:rsid w:val="0E4A1465"/>
    <w:rsid w:val="0E9F3F62"/>
    <w:rsid w:val="0FCD1000"/>
    <w:rsid w:val="0FEE34B6"/>
    <w:rsid w:val="105F7FD2"/>
    <w:rsid w:val="10A5538D"/>
    <w:rsid w:val="10C54DF2"/>
    <w:rsid w:val="10F06A32"/>
    <w:rsid w:val="11C16E06"/>
    <w:rsid w:val="122D22BB"/>
    <w:rsid w:val="12C5216D"/>
    <w:rsid w:val="139A6F8E"/>
    <w:rsid w:val="13E33DF9"/>
    <w:rsid w:val="142F5AA0"/>
    <w:rsid w:val="1476374A"/>
    <w:rsid w:val="156C1B81"/>
    <w:rsid w:val="162C2C5C"/>
    <w:rsid w:val="16367C2C"/>
    <w:rsid w:val="1640113D"/>
    <w:rsid w:val="164D118E"/>
    <w:rsid w:val="174515D3"/>
    <w:rsid w:val="17730FA9"/>
    <w:rsid w:val="17A214CD"/>
    <w:rsid w:val="18BC44BA"/>
    <w:rsid w:val="18C86DCB"/>
    <w:rsid w:val="18FA6C60"/>
    <w:rsid w:val="197F1ABA"/>
    <w:rsid w:val="19825775"/>
    <w:rsid w:val="19975AFD"/>
    <w:rsid w:val="19B2050F"/>
    <w:rsid w:val="19B80846"/>
    <w:rsid w:val="1A59022D"/>
    <w:rsid w:val="1AB840E7"/>
    <w:rsid w:val="1ADC5DFB"/>
    <w:rsid w:val="1B2E2F15"/>
    <w:rsid w:val="1B3B2915"/>
    <w:rsid w:val="1B804CFF"/>
    <w:rsid w:val="1B9A3902"/>
    <w:rsid w:val="1BB51FE7"/>
    <w:rsid w:val="1BCB6D26"/>
    <w:rsid w:val="1C404132"/>
    <w:rsid w:val="1C47447E"/>
    <w:rsid w:val="1C542D6A"/>
    <w:rsid w:val="1C6449BA"/>
    <w:rsid w:val="1C9726B7"/>
    <w:rsid w:val="1CC54380"/>
    <w:rsid w:val="1D0F29C7"/>
    <w:rsid w:val="1D425E05"/>
    <w:rsid w:val="1D8F64BF"/>
    <w:rsid w:val="1D9C516A"/>
    <w:rsid w:val="1DA87ACA"/>
    <w:rsid w:val="1DE44821"/>
    <w:rsid w:val="1E280791"/>
    <w:rsid w:val="1E2F54A4"/>
    <w:rsid w:val="1EEAEE15"/>
    <w:rsid w:val="1F4F07A1"/>
    <w:rsid w:val="1F65F7D8"/>
    <w:rsid w:val="1F73FEB4"/>
    <w:rsid w:val="1F7965F7"/>
    <w:rsid w:val="1F8954AF"/>
    <w:rsid w:val="1FD13744"/>
    <w:rsid w:val="1FD82855"/>
    <w:rsid w:val="210152F6"/>
    <w:rsid w:val="210271B9"/>
    <w:rsid w:val="21053482"/>
    <w:rsid w:val="21E54AE5"/>
    <w:rsid w:val="21E6571B"/>
    <w:rsid w:val="22B40411"/>
    <w:rsid w:val="22B81A32"/>
    <w:rsid w:val="22E97636"/>
    <w:rsid w:val="22FE2D97"/>
    <w:rsid w:val="233E6EBD"/>
    <w:rsid w:val="236031AC"/>
    <w:rsid w:val="23616262"/>
    <w:rsid w:val="237C6D14"/>
    <w:rsid w:val="23882B6B"/>
    <w:rsid w:val="23936A93"/>
    <w:rsid w:val="24954782"/>
    <w:rsid w:val="249F736E"/>
    <w:rsid w:val="24A36ACB"/>
    <w:rsid w:val="2514519B"/>
    <w:rsid w:val="2538326C"/>
    <w:rsid w:val="25DE5F61"/>
    <w:rsid w:val="260A75E1"/>
    <w:rsid w:val="260C7D9E"/>
    <w:rsid w:val="2660550F"/>
    <w:rsid w:val="26984167"/>
    <w:rsid w:val="26F3342C"/>
    <w:rsid w:val="270C2A4A"/>
    <w:rsid w:val="28110268"/>
    <w:rsid w:val="281C4F99"/>
    <w:rsid w:val="284B6393"/>
    <w:rsid w:val="28BE5099"/>
    <w:rsid w:val="28E2306B"/>
    <w:rsid w:val="29B36EBE"/>
    <w:rsid w:val="29C426A0"/>
    <w:rsid w:val="2A0368F1"/>
    <w:rsid w:val="2A742BD4"/>
    <w:rsid w:val="2AE21D1B"/>
    <w:rsid w:val="2B1132F0"/>
    <w:rsid w:val="2B2E7106"/>
    <w:rsid w:val="2B896DDB"/>
    <w:rsid w:val="2BA73393"/>
    <w:rsid w:val="2BFD3801"/>
    <w:rsid w:val="2C8A603C"/>
    <w:rsid w:val="2CA41629"/>
    <w:rsid w:val="2D3A2AC6"/>
    <w:rsid w:val="2D7E1C85"/>
    <w:rsid w:val="2DE60EFF"/>
    <w:rsid w:val="2E252978"/>
    <w:rsid w:val="2E8C1E55"/>
    <w:rsid w:val="2E9F5A31"/>
    <w:rsid w:val="2F211958"/>
    <w:rsid w:val="2F2575AC"/>
    <w:rsid w:val="2F3B3728"/>
    <w:rsid w:val="2F4A1CE7"/>
    <w:rsid w:val="2F513C75"/>
    <w:rsid w:val="2F563213"/>
    <w:rsid w:val="2F856F97"/>
    <w:rsid w:val="2FB07907"/>
    <w:rsid w:val="2FFA90F9"/>
    <w:rsid w:val="304F24E1"/>
    <w:rsid w:val="32197D65"/>
    <w:rsid w:val="32704AB8"/>
    <w:rsid w:val="32B402BB"/>
    <w:rsid w:val="32C22162"/>
    <w:rsid w:val="32F33A91"/>
    <w:rsid w:val="32F973FC"/>
    <w:rsid w:val="338B4EEC"/>
    <w:rsid w:val="344D1772"/>
    <w:rsid w:val="344E4A47"/>
    <w:rsid w:val="34C04025"/>
    <w:rsid w:val="350B594B"/>
    <w:rsid w:val="355C332F"/>
    <w:rsid w:val="359A6622"/>
    <w:rsid w:val="35A36D11"/>
    <w:rsid w:val="363A7BD1"/>
    <w:rsid w:val="36AA4313"/>
    <w:rsid w:val="36B00615"/>
    <w:rsid w:val="378B6821"/>
    <w:rsid w:val="37FC5C46"/>
    <w:rsid w:val="38075732"/>
    <w:rsid w:val="38AD7BE6"/>
    <w:rsid w:val="390601CB"/>
    <w:rsid w:val="3949707D"/>
    <w:rsid w:val="39C26A05"/>
    <w:rsid w:val="39EF41E1"/>
    <w:rsid w:val="39F9462D"/>
    <w:rsid w:val="3A0371B1"/>
    <w:rsid w:val="3A4A1F13"/>
    <w:rsid w:val="3A5E5DFA"/>
    <w:rsid w:val="3A610231"/>
    <w:rsid w:val="3B455EA1"/>
    <w:rsid w:val="3B4D1E37"/>
    <w:rsid w:val="3B70375E"/>
    <w:rsid w:val="3B955AC4"/>
    <w:rsid w:val="3BED4EBF"/>
    <w:rsid w:val="3BF25956"/>
    <w:rsid w:val="3C473CE3"/>
    <w:rsid w:val="3C4D3D8B"/>
    <w:rsid w:val="3CA2211E"/>
    <w:rsid w:val="3CD579EE"/>
    <w:rsid w:val="3CDC37B8"/>
    <w:rsid w:val="3CEE780E"/>
    <w:rsid w:val="3D3F480F"/>
    <w:rsid w:val="3D9D60CA"/>
    <w:rsid w:val="3DF31C5D"/>
    <w:rsid w:val="3E254A1D"/>
    <w:rsid w:val="3E410EDB"/>
    <w:rsid w:val="3E6919BE"/>
    <w:rsid w:val="3EFF1B93"/>
    <w:rsid w:val="3F134C51"/>
    <w:rsid w:val="3F5300EB"/>
    <w:rsid w:val="3FA3685E"/>
    <w:rsid w:val="3FC16BF7"/>
    <w:rsid w:val="405E2084"/>
    <w:rsid w:val="40600B81"/>
    <w:rsid w:val="40FA76A4"/>
    <w:rsid w:val="412634DD"/>
    <w:rsid w:val="414065DE"/>
    <w:rsid w:val="417F13E5"/>
    <w:rsid w:val="42254438"/>
    <w:rsid w:val="4225682E"/>
    <w:rsid w:val="42574151"/>
    <w:rsid w:val="425F2845"/>
    <w:rsid w:val="427342E3"/>
    <w:rsid w:val="42F460B7"/>
    <w:rsid w:val="43271074"/>
    <w:rsid w:val="43283C9F"/>
    <w:rsid w:val="434F2804"/>
    <w:rsid w:val="43525BA4"/>
    <w:rsid w:val="43665465"/>
    <w:rsid w:val="44044639"/>
    <w:rsid w:val="44062927"/>
    <w:rsid w:val="454E7958"/>
    <w:rsid w:val="456845DD"/>
    <w:rsid w:val="4571708E"/>
    <w:rsid w:val="457175B9"/>
    <w:rsid w:val="45D61ED0"/>
    <w:rsid w:val="461045C7"/>
    <w:rsid w:val="46312B15"/>
    <w:rsid w:val="466435AC"/>
    <w:rsid w:val="46895823"/>
    <w:rsid w:val="46F07949"/>
    <w:rsid w:val="47170D00"/>
    <w:rsid w:val="47851E3E"/>
    <w:rsid w:val="47A54837"/>
    <w:rsid w:val="48A60303"/>
    <w:rsid w:val="497C73B7"/>
    <w:rsid w:val="4980542C"/>
    <w:rsid w:val="49F25396"/>
    <w:rsid w:val="4AC30F5B"/>
    <w:rsid w:val="4B143245"/>
    <w:rsid w:val="4B200029"/>
    <w:rsid w:val="4BDFF8F8"/>
    <w:rsid w:val="4C604F46"/>
    <w:rsid w:val="4CAA34D8"/>
    <w:rsid w:val="4D521EF2"/>
    <w:rsid w:val="4DEF9420"/>
    <w:rsid w:val="4DFE5123"/>
    <w:rsid w:val="4E2965D2"/>
    <w:rsid w:val="4EA76B09"/>
    <w:rsid w:val="4EAC25DE"/>
    <w:rsid w:val="4F4B4195"/>
    <w:rsid w:val="4F7F6798"/>
    <w:rsid w:val="4FA80937"/>
    <w:rsid w:val="500B1AA5"/>
    <w:rsid w:val="502F0424"/>
    <w:rsid w:val="50716B52"/>
    <w:rsid w:val="50A042B4"/>
    <w:rsid w:val="50A07ACF"/>
    <w:rsid w:val="510B79E6"/>
    <w:rsid w:val="512908CA"/>
    <w:rsid w:val="516747A8"/>
    <w:rsid w:val="51911B36"/>
    <w:rsid w:val="51E54EF9"/>
    <w:rsid w:val="51FC2CEC"/>
    <w:rsid w:val="52876112"/>
    <w:rsid w:val="52AD1E8F"/>
    <w:rsid w:val="52C21802"/>
    <w:rsid w:val="532B6884"/>
    <w:rsid w:val="53EE4450"/>
    <w:rsid w:val="542823FA"/>
    <w:rsid w:val="544D29C4"/>
    <w:rsid w:val="54C72EBE"/>
    <w:rsid w:val="54FB4282"/>
    <w:rsid w:val="55351516"/>
    <w:rsid w:val="553E4816"/>
    <w:rsid w:val="5544102C"/>
    <w:rsid w:val="55EFFA44"/>
    <w:rsid w:val="56915701"/>
    <w:rsid w:val="56AA3D0D"/>
    <w:rsid w:val="56C7659A"/>
    <w:rsid w:val="56F87ADD"/>
    <w:rsid w:val="56FDE18F"/>
    <w:rsid w:val="577245DA"/>
    <w:rsid w:val="57C21F47"/>
    <w:rsid w:val="57D54C82"/>
    <w:rsid w:val="58342E95"/>
    <w:rsid w:val="58B97314"/>
    <w:rsid w:val="590612C2"/>
    <w:rsid w:val="593B4F9E"/>
    <w:rsid w:val="59761763"/>
    <w:rsid w:val="5A8E240A"/>
    <w:rsid w:val="5B1876D6"/>
    <w:rsid w:val="5D1E2005"/>
    <w:rsid w:val="5D413863"/>
    <w:rsid w:val="5DB867FE"/>
    <w:rsid w:val="5DD70E68"/>
    <w:rsid w:val="5DEB3611"/>
    <w:rsid w:val="5E2F259D"/>
    <w:rsid w:val="5EBF55F5"/>
    <w:rsid w:val="5EC61F30"/>
    <w:rsid w:val="5EDB1F2B"/>
    <w:rsid w:val="5EE06460"/>
    <w:rsid w:val="5F1C405F"/>
    <w:rsid w:val="5F276DF0"/>
    <w:rsid w:val="5F614B75"/>
    <w:rsid w:val="5F676308"/>
    <w:rsid w:val="5F6F962C"/>
    <w:rsid w:val="5FA6007C"/>
    <w:rsid w:val="5FFB7A5C"/>
    <w:rsid w:val="5FFF5DF4"/>
    <w:rsid w:val="601174AC"/>
    <w:rsid w:val="60A72870"/>
    <w:rsid w:val="60C878A1"/>
    <w:rsid w:val="60C94E6F"/>
    <w:rsid w:val="60E56628"/>
    <w:rsid w:val="610A1A0E"/>
    <w:rsid w:val="611E786A"/>
    <w:rsid w:val="61351F17"/>
    <w:rsid w:val="615919FC"/>
    <w:rsid w:val="615A3430"/>
    <w:rsid w:val="61722A39"/>
    <w:rsid w:val="61B36717"/>
    <w:rsid w:val="62040105"/>
    <w:rsid w:val="621348BF"/>
    <w:rsid w:val="62970543"/>
    <w:rsid w:val="62F87BB2"/>
    <w:rsid w:val="63022759"/>
    <w:rsid w:val="63155CE1"/>
    <w:rsid w:val="632159E1"/>
    <w:rsid w:val="636667E8"/>
    <w:rsid w:val="636D2329"/>
    <w:rsid w:val="63710313"/>
    <w:rsid w:val="63AD3F5A"/>
    <w:rsid w:val="64104775"/>
    <w:rsid w:val="64224F65"/>
    <w:rsid w:val="647E3A9E"/>
    <w:rsid w:val="64B30DAE"/>
    <w:rsid w:val="64E7113D"/>
    <w:rsid w:val="650E2B19"/>
    <w:rsid w:val="65232A2A"/>
    <w:rsid w:val="653668B3"/>
    <w:rsid w:val="656112E1"/>
    <w:rsid w:val="65875F46"/>
    <w:rsid w:val="65FF4F07"/>
    <w:rsid w:val="66281AF6"/>
    <w:rsid w:val="667A7788"/>
    <w:rsid w:val="66853BD1"/>
    <w:rsid w:val="66EB0AE0"/>
    <w:rsid w:val="671320D5"/>
    <w:rsid w:val="6760659D"/>
    <w:rsid w:val="676B47D7"/>
    <w:rsid w:val="677A058A"/>
    <w:rsid w:val="678B4459"/>
    <w:rsid w:val="679E62C2"/>
    <w:rsid w:val="67AF4F1A"/>
    <w:rsid w:val="67FD7204"/>
    <w:rsid w:val="69813AF4"/>
    <w:rsid w:val="69B34692"/>
    <w:rsid w:val="69C2471C"/>
    <w:rsid w:val="6A254F55"/>
    <w:rsid w:val="6A530C8A"/>
    <w:rsid w:val="6AE46162"/>
    <w:rsid w:val="6B2D4DBD"/>
    <w:rsid w:val="6B9C0ECC"/>
    <w:rsid w:val="6BA25328"/>
    <w:rsid w:val="6BD87ACE"/>
    <w:rsid w:val="6BF2144B"/>
    <w:rsid w:val="6C6476D0"/>
    <w:rsid w:val="6C69188C"/>
    <w:rsid w:val="6CCF5C69"/>
    <w:rsid w:val="6CDB7936"/>
    <w:rsid w:val="6D851655"/>
    <w:rsid w:val="6DFDDA07"/>
    <w:rsid w:val="6E874635"/>
    <w:rsid w:val="6EDF6693"/>
    <w:rsid w:val="6F293869"/>
    <w:rsid w:val="6FAFD8D1"/>
    <w:rsid w:val="6FBB9E7E"/>
    <w:rsid w:val="6FD23F6B"/>
    <w:rsid w:val="70B305F6"/>
    <w:rsid w:val="70B579F4"/>
    <w:rsid w:val="70C9063E"/>
    <w:rsid w:val="70DB489C"/>
    <w:rsid w:val="70F93659"/>
    <w:rsid w:val="71427931"/>
    <w:rsid w:val="71E2782F"/>
    <w:rsid w:val="723F01A7"/>
    <w:rsid w:val="73460F17"/>
    <w:rsid w:val="735C47F3"/>
    <w:rsid w:val="73AA2295"/>
    <w:rsid w:val="73B2184A"/>
    <w:rsid w:val="73C73B0D"/>
    <w:rsid w:val="73CB485D"/>
    <w:rsid w:val="73FD453E"/>
    <w:rsid w:val="74161395"/>
    <w:rsid w:val="74B50036"/>
    <w:rsid w:val="74BF2CD5"/>
    <w:rsid w:val="74DC3D5D"/>
    <w:rsid w:val="74E42816"/>
    <w:rsid w:val="74F64C3E"/>
    <w:rsid w:val="753D3ABA"/>
    <w:rsid w:val="755306D5"/>
    <w:rsid w:val="757FBA98"/>
    <w:rsid w:val="760411C1"/>
    <w:rsid w:val="76376D3E"/>
    <w:rsid w:val="76FF03C0"/>
    <w:rsid w:val="77216EC4"/>
    <w:rsid w:val="777B39C3"/>
    <w:rsid w:val="77A97B0E"/>
    <w:rsid w:val="785351F0"/>
    <w:rsid w:val="785475AF"/>
    <w:rsid w:val="78667B42"/>
    <w:rsid w:val="799F6098"/>
    <w:rsid w:val="79A204E3"/>
    <w:rsid w:val="79DF3C35"/>
    <w:rsid w:val="7A275EFC"/>
    <w:rsid w:val="7A2D4FE8"/>
    <w:rsid w:val="7A894963"/>
    <w:rsid w:val="7A991724"/>
    <w:rsid w:val="7B367A2C"/>
    <w:rsid w:val="7B6A3B6E"/>
    <w:rsid w:val="7BBBBF75"/>
    <w:rsid w:val="7BCA3451"/>
    <w:rsid w:val="7BD03516"/>
    <w:rsid w:val="7BD27B35"/>
    <w:rsid w:val="7BE4139A"/>
    <w:rsid w:val="7BF91626"/>
    <w:rsid w:val="7C6B0F46"/>
    <w:rsid w:val="7CF1515B"/>
    <w:rsid w:val="7CFDBB8C"/>
    <w:rsid w:val="7D4F25ED"/>
    <w:rsid w:val="7D5E7CDA"/>
    <w:rsid w:val="7D6B7D7F"/>
    <w:rsid w:val="7DA4241B"/>
    <w:rsid w:val="7DAF8FDB"/>
    <w:rsid w:val="7DC61753"/>
    <w:rsid w:val="7DFA3EA4"/>
    <w:rsid w:val="7ED3D3A6"/>
    <w:rsid w:val="7F1B3001"/>
    <w:rsid w:val="7F1FEE8F"/>
    <w:rsid w:val="7F2C4EE1"/>
    <w:rsid w:val="7F3659B1"/>
    <w:rsid w:val="7F7FCEC7"/>
    <w:rsid w:val="7FA9E7E1"/>
    <w:rsid w:val="7FB754BF"/>
    <w:rsid w:val="7FB7B9B5"/>
    <w:rsid w:val="7FD360E0"/>
    <w:rsid w:val="7FE35920"/>
    <w:rsid w:val="7FE5D238"/>
    <w:rsid w:val="7FEEE530"/>
    <w:rsid w:val="7FF63867"/>
    <w:rsid w:val="7FFD6A48"/>
    <w:rsid w:val="7FFFA070"/>
    <w:rsid w:val="7FFFEDE9"/>
    <w:rsid w:val="83F7E83A"/>
    <w:rsid w:val="97BFFFCF"/>
    <w:rsid w:val="99E737F2"/>
    <w:rsid w:val="9EBD88CA"/>
    <w:rsid w:val="BFF74057"/>
    <w:rsid w:val="BFF7974B"/>
    <w:rsid w:val="C7FF452D"/>
    <w:rsid w:val="CFFC29EC"/>
    <w:rsid w:val="DBD5DC84"/>
    <w:rsid w:val="DDDFEA3F"/>
    <w:rsid w:val="DFBF24D7"/>
    <w:rsid w:val="E59F1B38"/>
    <w:rsid w:val="E7F34456"/>
    <w:rsid w:val="E8F7AA09"/>
    <w:rsid w:val="EB7FA36A"/>
    <w:rsid w:val="EBB98AAF"/>
    <w:rsid w:val="EE6F2F08"/>
    <w:rsid w:val="EFDFB474"/>
    <w:rsid w:val="F13BA094"/>
    <w:rsid w:val="F67224F0"/>
    <w:rsid w:val="F7FFF715"/>
    <w:rsid w:val="FBD97B0E"/>
    <w:rsid w:val="FBD9E372"/>
    <w:rsid w:val="FBF9A4E3"/>
    <w:rsid w:val="FBFAC88A"/>
    <w:rsid w:val="FEEFCCED"/>
    <w:rsid w:val="FF4FDA91"/>
    <w:rsid w:val="FF7F19FE"/>
    <w:rsid w:val="FFFFB8B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1"/>
    <w:qFormat/>
    <w:uiPriority w:val="9"/>
    <w:pPr>
      <w:keepNext/>
      <w:keepLines/>
      <w:numPr>
        <w:ilvl w:val="0"/>
        <w:numId w:val="1"/>
      </w:numPr>
      <w:spacing w:before="100" w:beforeAutospacing="1" w:after="100" w:afterAutospacing="1"/>
      <w:jc w:val="left"/>
      <w:outlineLvl w:val="0"/>
    </w:pPr>
    <w:rPr>
      <w:b/>
      <w:bCs/>
      <w:kern w:val="44"/>
      <w:sz w:val="28"/>
      <w:szCs w:val="44"/>
    </w:rPr>
  </w:style>
  <w:style w:type="paragraph" w:styleId="4">
    <w:name w:val="heading 2"/>
    <w:basedOn w:val="1"/>
    <w:next w:val="1"/>
    <w:link w:val="16"/>
    <w:qFormat/>
    <w:uiPriority w:val="0"/>
    <w:pPr>
      <w:keepNext/>
      <w:widowControl/>
      <w:numPr>
        <w:ilvl w:val="1"/>
        <w:numId w:val="1"/>
      </w:numPr>
      <w:tabs>
        <w:tab w:val="left" w:pos="567"/>
      </w:tabs>
      <w:spacing w:before="240" w:after="60"/>
      <w:jc w:val="left"/>
      <w:outlineLvl w:val="1"/>
    </w:pPr>
    <w:rPr>
      <w:rFonts w:ascii="Arial" w:hAnsi="Arial"/>
      <w:b/>
      <w:kern w:val="0"/>
      <w:szCs w:val="20"/>
      <w:lang w:val="en-GB" w:eastAsia="en-US"/>
    </w:rPr>
  </w:style>
  <w:style w:type="paragraph" w:styleId="5">
    <w:name w:val="heading 3"/>
    <w:basedOn w:val="1"/>
    <w:next w:val="1"/>
    <w:link w:val="18"/>
    <w:unhideWhenUsed/>
    <w:qFormat/>
    <w:uiPriority w:val="9"/>
    <w:pPr>
      <w:keepNext/>
      <w:keepLines/>
      <w:numPr>
        <w:ilvl w:val="2"/>
        <w:numId w:val="1"/>
      </w:numPr>
      <w:spacing w:line="360" w:lineRule="auto"/>
      <w:jc w:val="left"/>
      <w:outlineLvl w:val="2"/>
    </w:pPr>
    <w:rPr>
      <w:rFonts w:eastAsia="仿宋"/>
      <w:b/>
      <w:bCs/>
      <w:szCs w:val="32"/>
    </w:rPr>
  </w:style>
  <w:style w:type="paragraph" w:styleId="6">
    <w:name w:val="heading 4"/>
    <w:basedOn w:val="1"/>
    <w:next w:val="1"/>
    <w:link w:val="20"/>
    <w:unhideWhenUsed/>
    <w:qFormat/>
    <w:uiPriority w:val="9"/>
    <w:pPr>
      <w:keepNext/>
      <w:keepLines/>
      <w:numPr>
        <w:ilvl w:val="3"/>
        <w:numId w:val="1"/>
      </w:numPr>
      <w:jc w:val="left"/>
      <w:outlineLvl w:val="3"/>
    </w:pPr>
    <w:rPr>
      <w:rFonts w:ascii="仿宋" w:eastAsia="仿宋" w:hAnsiTheme="majorHAnsi" w:cstheme="majorBidi"/>
      <w:b/>
      <w:bCs/>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sz w:val="28"/>
    </w:rPr>
  </w:style>
  <w:style w:type="paragraph" w:styleId="7">
    <w:name w:val="annotation text"/>
    <w:basedOn w:val="1"/>
    <w:link w:val="23"/>
    <w:unhideWhenUsed/>
    <w:qFormat/>
    <w:uiPriority w:val="0"/>
    <w:pPr>
      <w:jc w:val="left"/>
    </w:pPr>
  </w:style>
  <w:style w:type="paragraph" w:styleId="8">
    <w:name w:val="Balloon Text"/>
    <w:basedOn w:val="1"/>
    <w:link w:val="25"/>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1">
    <w:name w:val="annotation subject"/>
    <w:basedOn w:val="7"/>
    <w:next w:val="7"/>
    <w:link w:val="24"/>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unhideWhenUsed/>
    <w:qFormat/>
    <w:uiPriority w:val="0"/>
    <w:rPr>
      <w:sz w:val="21"/>
      <w:szCs w:val="21"/>
    </w:rPr>
  </w:style>
  <w:style w:type="character" w:customStyle="1" w:styleId="16">
    <w:name w:val="标题 2 字符"/>
    <w:basedOn w:val="14"/>
    <w:link w:val="4"/>
    <w:qFormat/>
    <w:uiPriority w:val="0"/>
    <w:rPr>
      <w:rFonts w:ascii="Arial" w:hAnsi="Arial"/>
      <w:b/>
      <w:sz w:val="24"/>
      <w:lang w:val="en-GB" w:eastAsia="en-US"/>
    </w:rPr>
  </w:style>
  <w:style w:type="character" w:customStyle="1" w:styleId="17">
    <w:name w:val="页眉 字符"/>
    <w:basedOn w:val="14"/>
    <w:link w:val="10"/>
    <w:qFormat/>
    <w:uiPriority w:val="0"/>
    <w:rPr>
      <w:rFonts w:ascii="Times New Roman" w:hAnsi="Times New Roman" w:eastAsia="宋体" w:cs="Times New Roman"/>
      <w:sz w:val="18"/>
      <w:szCs w:val="18"/>
    </w:rPr>
  </w:style>
  <w:style w:type="character" w:customStyle="1" w:styleId="18">
    <w:name w:val="标题 3 字符"/>
    <w:basedOn w:val="14"/>
    <w:link w:val="5"/>
    <w:qFormat/>
    <w:uiPriority w:val="9"/>
    <w:rPr>
      <w:rFonts w:ascii="Times New Roman" w:hAnsi="Times New Roman" w:eastAsia="仿宋"/>
      <w:b/>
      <w:bCs/>
      <w:kern w:val="2"/>
      <w:sz w:val="24"/>
      <w:szCs w:val="32"/>
    </w:rPr>
  </w:style>
  <w:style w:type="paragraph" w:customStyle="1" w:styleId="19">
    <w:name w:val="列表段落1"/>
    <w:basedOn w:val="1"/>
    <w:link w:val="37"/>
    <w:qFormat/>
    <w:uiPriority w:val="99"/>
    <w:pPr>
      <w:ind w:firstLine="420" w:firstLineChars="200"/>
    </w:pPr>
  </w:style>
  <w:style w:type="character" w:customStyle="1" w:styleId="20">
    <w:name w:val="标题 4 字符"/>
    <w:basedOn w:val="14"/>
    <w:link w:val="6"/>
    <w:qFormat/>
    <w:uiPriority w:val="9"/>
    <w:rPr>
      <w:rFonts w:ascii="仿宋" w:eastAsia="仿宋" w:hAnsiTheme="majorHAnsi" w:cstheme="majorBidi"/>
      <w:b/>
      <w:bCs/>
      <w:kern w:val="2"/>
      <w:sz w:val="24"/>
      <w:szCs w:val="28"/>
    </w:rPr>
  </w:style>
  <w:style w:type="character" w:customStyle="1" w:styleId="21">
    <w:name w:val="标题 1 字符"/>
    <w:basedOn w:val="14"/>
    <w:link w:val="3"/>
    <w:qFormat/>
    <w:uiPriority w:val="9"/>
    <w:rPr>
      <w:rFonts w:ascii="Times New Roman" w:hAnsi="Times New Roman"/>
      <w:b/>
      <w:bCs/>
      <w:kern w:val="44"/>
      <w:sz w:val="28"/>
      <w:szCs w:val="44"/>
    </w:rPr>
  </w:style>
  <w:style w:type="character" w:customStyle="1" w:styleId="22">
    <w:name w:val="页脚 字符"/>
    <w:basedOn w:val="14"/>
    <w:link w:val="9"/>
    <w:qFormat/>
    <w:uiPriority w:val="99"/>
    <w:rPr>
      <w:rFonts w:ascii="Times New Roman" w:hAnsi="Times New Roman" w:eastAsia="宋体" w:cs="Times New Roman"/>
      <w:sz w:val="18"/>
      <w:szCs w:val="18"/>
    </w:rPr>
  </w:style>
  <w:style w:type="character" w:customStyle="1" w:styleId="23">
    <w:name w:val="批注文字 字符"/>
    <w:basedOn w:val="14"/>
    <w:link w:val="7"/>
    <w:qFormat/>
    <w:uiPriority w:val="0"/>
    <w:rPr>
      <w:rFonts w:ascii="Times New Roman" w:hAnsi="Times New Roman" w:eastAsia="宋体" w:cs="Times New Roman"/>
      <w:sz w:val="24"/>
      <w:szCs w:val="24"/>
    </w:rPr>
  </w:style>
  <w:style w:type="character" w:customStyle="1" w:styleId="24">
    <w:name w:val="批注主题 字符"/>
    <w:basedOn w:val="23"/>
    <w:link w:val="11"/>
    <w:semiHidden/>
    <w:qFormat/>
    <w:uiPriority w:val="99"/>
    <w:rPr>
      <w:rFonts w:ascii="Times New Roman" w:hAnsi="Times New Roman" w:eastAsia="宋体" w:cs="Times New Roman"/>
      <w:b/>
      <w:bCs/>
      <w:sz w:val="24"/>
      <w:szCs w:val="24"/>
    </w:rPr>
  </w:style>
  <w:style w:type="character" w:customStyle="1" w:styleId="25">
    <w:name w:val="批注框文本 字符"/>
    <w:basedOn w:val="14"/>
    <w:link w:val="8"/>
    <w:semiHidden/>
    <w:qFormat/>
    <w:uiPriority w:val="99"/>
    <w:rPr>
      <w:rFonts w:ascii="Times New Roman" w:hAnsi="Times New Roman" w:eastAsia="宋体" w:cs="Times New Roman"/>
      <w:sz w:val="18"/>
      <w:szCs w:val="18"/>
    </w:rPr>
  </w:style>
  <w:style w:type="paragraph" w:customStyle="1" w:styleId="26">
    <w:name w:val="l4"/>
    <w:basedOn w:val="27"/>
    <w:qFormat/>
    <w:uiPriority w:val="0"/>
    <w:pPr>
      <w:tabs>
        <w:tab w:val="left" w:pos="845"/>
        <w:tab w:val="left" w:pos="1271"/>
      </w:tabs>
    </w:pPr>
  </w:style>
  <w:style w:type="paragraph" w:customStyle="1" w:styleId="27">
    <w:name w:val="QB标题4"/>
    <w:basedOn w:val="6"/>
    <w:next w:val="28"/>
    <w:qFormat/>
    <w:uiPriority w:val="0"/>
    <w:pPr>
      <w:tabs>
        <w:tab w:val="left" w:pos="845"/>
        <w:tab w:val="left" w:pos="1271"/>
      </w:tabs>
      <w:autoSpaceDE w:val="0"/>
      <w:autoSpaceDN w:val="0"/>
      <w:adjustRightInd w:val="0"/>
      <w:ind w:firstLine="0"/>
      <w:textAlignment w:val="baseline"/>
    </w:pPr>
    <w:rPr>
      <w:rFonts w:ascii="Arial" w:hAnsi="Arial" w:eastAsia="黑体"/>
      <w:b w:val="0"/>
      <w:kern w:val="0"/>
      <w:sz w:val="21"/>
    </w:rPr>
  </w:style>
  <w:style w:type="paragraph" w:customStyle="1" w:styleId="28">
    <w:name w:val="QB正文"/>
    <w:basedOn w:val="1"/>
    <w:qFormat/>
    <w:uiPriority w:val="0"/>
    <w:pPr>
      <w:widowControl/>
      <w:autoSpaceDE w:val="0"/>
      <w:autoSpaceDN w:val="0"/>
    </w:pPr>
    <w:rPr>
      <w:rFonts w:ascii="宋体"/>
      <w:kern w:val="0"/>
      <w:szCs w:val="20"/>
    </w:rPr>
  </w:style>
  <w:style w:type="paragraph" w:customStyle="1" w:styleId="29">
    <w:name w:val="UT文档标题4"/>
    <w:basedOn w:val="6"/>
    <w:next w:val="30"/>
    <w:qFormat/>
    <w:uiPriority w:val="0"/>
    <w:pPr>
      <w:numPr>
        <w:numId w:val="2"/>
      </w:numPr>
      <w:spacing w:line="360" w:lineRule="auto"/>
    </w:pPr>
    <w:rPr>
      <w:rFonts w:ascii="Times New Roman" w:hAnsi="Times New Roman"/>
    </w:rPr>
  </w:style>
  <w:style w:type="paragraph" w:customStyle="1" w:styleId="30">
    <w:name w:val="UT文档正文"/>
    <w:basedOn w:val="1"/>
    <w:qFormat/>
    <w:uiPriority w:val="0"/>
    <w:pPr>
      <w:spacing w:line="360" w:lineRule="auto"/>
      <w:ind w:firstLine="200" w:firstLineChars="200"/>
    </w:pPr>
  </w:style>
  <w:style w:type="character" w:customStyle="1" w:styleId="31">
    <w:name w:val="level3 Char"/>
    <w:link w:val="32"/>
    <w:qFormat/>
    <w:uiPriority w:val="0"/>
    <w:rPr>
      <w:rFonts w:ascii="宋体" w:hAnsi="宋体" w:eastAsia="仿宋"/>
      <w:bCs/>
      <w:sz w:val="21"/>
      <w:szCs w:val="32"/>
    </w:rPr>
  </w:style>
  <w:style w:type="paragraph" w:customStyle="1" w:styleId="32">
    <w:name w:val="level3"/>
    <w:basedOn w:val="33"/>
    <w:link w:val="31"/>
    <w:qFormat/>
    <w:uiPriority w:val="0"/>
    <w:pPr>
      <w:tabs>
        <w:tab w:val="left" w:pos="845"/>
        <w:tab w:val="left" w:pos="1129"/>
      </w:tabs>
    </w:pPr>
  </w:style>
  <w:style w:type="paragraph" w:customStyle="1" w:styleId="33">
    <w:name w:val="QB标题3"/>
    <w:basedOn w:val="5"/>
    <w:next w:val="28"/>
    <w:qFormat/>
    <w:uiPriority w:val="0"/>
    <w:pPr>
      <w:tabs>
        <w:tab w:val="left" w:pos="845"/>
        <w:tab w:val="left" w:pos="1129"/>
      </w:tabs>
      <w:autoSpaceDE w:val="0"/>
      <w:autoSpaceDN w:val="0"/>
      <w:adjustRightInd w:val="0"/>
      <w:ind w:firstLine="0"/>
      <w:textAlignment w:val="baseline"/>
    </w:pPr>
    <w:rPr>
      <w:rFonts w:ascii="宋体" w:hAnsi="宋体"/>
      <w:b w:val="0"/>
      <w:kern w:val="0"/>
      <w:sz w:val="21"/>
    </w:rPr>
  </w:style>
  <w:style w:type="character" w:customStyle="1" w:styleId="34">
    <w:name w:val="font11"/>
    <w:basedOn w:val="14"/>
    <w:qFormat/>
    <w:uiPriority w:val="0"/>
    <w:rPr>
      <w:rFonts w:hint="eastAsia" w:ascii="微软雅黑" w:hAnsi="微软雅黑" w:eastAsia="微软雅黑" w:cs="微软雅黑"/>
      <w:color w:val="000000"/>
      <w:sz w:val="20"/>
      <w:szCs w:val="20"/>
      <w:u w:val="none"/>
    </w:rPr>
  </w:style>
  <w:style w:type="paragraph" w:styleId="35">
    <w:name w:val="List Paragraph"/>
    <w:basedOn w:val="1"/>
    <w:qFormat/>
    <w:uiPriority w:val="99"/>
    <w:pPr>
      <w:ind w:firstLine="420" w:firstLineChars="200"/>
    </w:pPr>
  </w:style>
  <w:style w:type="paragraph" w:customStyle="1" w:styleId="36">
    <w:name w:val="列表段落2"/>
    <w:basedOn w:val="1"/>
    <w:qFormat/>
    <w:uiPriority w:val="0"/>
    <w:pPr>
      <w:ind w:firstLine="420" w:firstLineChars="200"/>
    </w:pPr>
    <w:rPr>
      <w:sz w:val="21"/>
      <w:szCs w:val="21"/>
    </w:rPr>
  </w:style>
  <w:style w:type="character" w:customStyle="1" w:styleId="37">
    <w:name w:val="列表段落 字符"/>
    <w:link w:val="19"/>
    <w:qFormat/>
    <w:locked/>
    <w:uiPriority w:val="99"/>
    <w:rPr>
      <w:kern w:val="2"/>
      <w:sz w:val="24"/>
      <w:szCs w:val="24"/>
    </w:rPr>
  </w:style>
  <w:style w:type="paragraph" w:customStyle="1" w:styleId="38">
    <w:name w:val="修订1"/>
    <w:hidden/>
    <w:semiHidden/>
    <w:qFormat/>
    <w:uiPriority w:val="99"/>
    <w:rPr>
      <w:rFonts w:ascii="Times New Roman" w:hAnsi="Times New Roman" w:eastAsia="宋体" w:cs="Times New Roman"/>
      <w:kern w:val="2"/>
      <w:sz w:val="24"/>
      <w:szCs w:val="24"/>
      <w:lang w:val="en-US" w:eastAsia="zh-CN" w:bidi="ar-SA"/>
    </w:rPr>
  </w:style>
  <w:style w:type="paragraph" w:customStyle="1" w:styleId="39">
    <w:name w:val="修订2"/>
    <w:hidden/>
    <w:semiHidden/>
    <w:qFormat/>
    <w:uiPriority w:val="99"/>
    <w:rPr>
      <w:rFonts w:ascii="Times New Roman" w:hAnsi="Times New Roman" w:eastAsia="宋体" w:cs="Times New Roman"/>
      <w:kern w:val="2"/>
      <w:sz w:val="24"/>
      <w:szCs w:val="24"/>
      <w:lang w:val="en-US" w:eastAsia="zh-CN" w:bidi="ar-SA"/>
    </w:rPr>
  </w:style>
  <w:style w:type="paragraph" w:customStyle="1" w:styleId="40">
    <w:name w:val="修订3"/>
    <w:hidden/>
    <w:semiHidden/>
    <w:qFormat/>
    <w:uiPriority w:val="99"/>
    <w:rPr>
      <w:rFonts w:ascii="Times New Roman" w:hAnsi="Times New Roman" w:eastAsia="宋体" w:cs="Times New Roman"/>
      <w:kern w:val="2"/>
      <w:sz w:val="24"/>
      <w:szCs w:val="24"/>
      <w:lang w:val="en-US" w:eastAsia="zh-CN" w:bidi="ar-SA"/>
    </w:rPr>
  </w:style>
  <w:style w:type="paragraph" w:customStyle="1" w:styleId="41">
    <w:name w:val="修订4"/>
    <w:hidden/>
    <w:semiHidden/>
    <w:qFormat/>
    <w:uiPriority w:val="99"/>
    <w:rPr>
      <w:rFonts w:ascii="Times New Roman" w:hAnsi="Times New Roman" w:eastAsia="宋体" w:cs="Times New Roman"/>
      <w:kern w:val="2"/>
      <w:sz w:val="24"/>
      <w:szCs w:val="24"/>
      <w:lang w:val="en-US" w:eastAsia="zh-CN" w:bidi="ar-SA"/>
    </w:rPr>
  </w:style>
  <w:style w:type="paragraph" w:customStyle="1" w:styleId="42">
    <w:name w:val="修订5"/>
    <w:hidden/>
    <w:semiHidden/>
    <w:qFormat/>
    <w:uiPriority w:val="99"/>
    <w:rPr>
      <w:rFonts w:ascii="Times New Roman" w:hAnsi="Times New Roman" w:eastAsia="宋体" w:cs="Times New Roman"/>
      <w:kern w:val="2"/>
      <w:sz w:val="24"/>
      <w:szCs w:val="24"/>
      <w:lang w:val="en-US" w:eastAsia="zh-CN" w:bidi="ar-SA"/>
    </w:rPr>
  </w:style>
  <w:style w:type="paragraph" w:customStyle="1" w:styleId="43">
    <w:name w:val="修订6"/>
    <w:hidden/>
    <w:semiHidden/>
    <w:qFormat/>
    <w:uiPriority w:val="99"/>
    <w:rPr>
      <w:rFonts w:ascii="Times New Roman" w:hAnsi="Times New Roman" w:eastAsia="宋体" w:cs="Times New Roman"/>
      <w:kern w:val="2"/>
      <w:sz w:val="24"/>
      <w:szCs w:val="24"/>
      <w:lang w:val="en-US" w:eastAsia="zh-CN" w:bidi="ar-SA"/>
    </w:rPr>
  </w:style>
  <w:style w:type="paragraph" w:customStyle="1" w:styleId="44">
    <w:name w:val="Revision"/>
    <w:hidden/>
    <w:semiHidden/>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A7E70-95E8-4989-B6F3-43AB249763F2}">
  <ds:schemaRefs/>
</ds:datastoreItem>
</file>

<file path=docProps/app.xml><?xml version="1.0" encoding="utf-8"?>
<Properties xmlns="http://schemas.openxmlformats.org/officeDocument/2006/extended-properties" xmlns:vt="http://schemas.openxmlformats.org/officeDocument/2006/docPropsVTypes">
  <Template>Normal</Template>
  <Pages>22</Pages>
  <Words>2201</Words>
  <Characters>12551</Characters>
  <Lines>104</Lines>
  <Paragraphs>29</Paragraphs>
  <TotalTime>2</TotalTime>
  <ScaleCrop>false</ScaleCrop>
  <LinksUpToDate>false</LinksUpToDate>
  <CharactersWithSpaces>14723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2022-06-27T08:06:00Z</dcterms:created>
  <dcterms:modified xsi:type="dcterms:W3CDTF">2022-12-27T08:48:34Z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C141D65219F848B9B6905E01B1D220D4</vt:lpwstr>
  </property>
</Properties>
</file>